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Решение Арбитражного суда Челябинской области от 14.04.2025 по делу N А76-30738/2024</w:t>
              <w:br/>
              <w:t xml:space="preserve">Требование: О признании недействительным решения Отделения Фонда пенсионного и социального страхования Российской Федерации по Челябинской области.</w:t>
              <w:br/>
              <w:t xml:space="preserve">Решение: Требование удовлетворено.</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23.06.2025</w:t>
            </w:r>
            <w:r>
              <w:rPr>
                <w:sz w:val="28"/>
              </w:rPr>
              <w:br/>
              <w:t xml:space="preserve"> </w:t>
            </w:r>
          </w:p>
        </w:tc>
      </w:tr>
    </w:tbl>
    <w:p>
      <w:pPr>
        <w:sectPr>
          <w:pgSz w:w="11906" w:h="16838"/>
          <w:pgMar w:top="841" w:right="595" w:bottom="841" w:left="595" w:header="0" w:footer="0" w:gutter="0"/>
          <w:titlePg/>
        </w:sectPr>
      </w:pPr>
    </w:p>
    <w:p>
      <w:pPr>
        <w:pStyle w:val="0"/>
        <w:outlineLvl w:val="0"/>
        <w:ind w:firstLine="540"/>
        <w:jc w:val="both"/>
      </w:pPr>
      <w:r>
        <w:rPr>
          <w:sz w:val="24"/>
        </w:rPr>
      </w:r>
    </w:p>
    <w:p>
      <w:pPr>
        <w:pStyle w:val="2"/>
        <w:outlineLvl w:val="0"/>
        <w:jc w:val="center"/>
      </w:pPr>
      <w:r>
        <w:rPr>
          <w:sz w:val="24"/>
        </w:rPr>
        <w:t xml:space="preserve">АРБИТРАЖНЫЙ СУД ЧЕЛЯБИНСКОЙ ОБЛАСТИ</w:t>
      </w:r>
    </w:p>
    <w:p>
      <w:pPr>
        <w:pStyle w:val="2"/>
        <w:jc w:val="center"/>
      </w:pPr>
      <w:r>
        <w:rPr>
          <w:sz w:val="24"/>
        </w:rPr>
      </w:r>
    </w:p>
    <w:p>
      <w:pPr>
        <w:pStyle w:val="2"/>
        <w:jc w:val="center"/>
      </w:pPr>
      <w:r>
        <w:rPr>
          <w:sz w:val="24"/>
        </w:rPr>
        <w:t xml:space="preserve">Именем Российской Федерации</w:t>
      </w:r>
    </w:p>
    <w:p>
      <w:pPr>
        <w:pStyle w:val="2"/>
        <w:jc w:val="center"/>
      </w:pPr>
      <w:r>
        <w:rPr>
          <w:sz w:val="24"/>
        </w:rPr>
      </w:r>
    </w:p>
    <w:p>
      <w:pPr>
        <w:pStyle w:val="2"/>
        <w:jc w:val="center"/>
      </w:pPr>
      <w:r>
        <w:rPr>
          <w:sz w:val="24"/>
        </w:rPr>
        <w:t xml:space="preserve">РЕШЕНИЕ</w:t>
      </w:r>
    </w:p>
    <w:p>
      <w:pPr>
        <w:pStyle w:val="2"/>
        <w:jc w:val="center"/>
      </w:pPr>
      <w:r>
        <w:rPr>
          <w:sz w:val="24"/>
        </w:rPr>
        <w:t xml:space="preserve">от 14 апреля 2025 г. по делу N А76-30738/2024</w:t>
      </w:r>
    </w:p>
    <w:p>
      <w:pPr>
        <w:pStyle w:val="0"/>
        <w:ind w:firstLine="540"/>
        <w:jc w:val="both"/>
      </w:pPr>
      <w:r>
        <w:rPr>
          <w:sz w:val="24"/>
        </w:rPr>
      </w:r>
    </w:p>
    <w:p>
      <w:pPr>
        <w:pStyle w:val="0"/>
        <w:ind w:firstLine="540"/>
        <w:jc w:val="both"/>
      </w:pPr>
      <w:r>
        <w:rPr>
          <w:sz w:val="24"/>
        </w:rPr>
        <w:t xml:space="preserve">Резолютивная часть объявлена 14 февраля 2025 года</w:t>
      </w:r>
    </w:p>
    <w:p>
      <w:pPr>
        <w:pStyle w:val="0"/>
        <w:spacing w:before="240" w:line-rule="auto"/>
        <w:ind w:firstLine="540"/>
        <w:jc w:val="both"/>
      </w:pPr>
      <w:r>
        <w:rPr>
          <w:sz w:val="24"/>
        </w:rPr>
        <w:t xml:space="preserve">Решение в полном объеме изготовлено 14 апреля 2025 года</w:t>
      </w:r>
    </w:p>
    <w:p>
      <w:pPr>
        <w:pStyle w:val="0"/>
        <w:spacing w:before="240" w:line-rule="auto"/>
        <w:ind w:firstLine="540"/>
        <w:jc w:val="both"/>
      </w:pPr>
      <w:r>
        <w:rPr>
          <w:sz w:val="24"/>
        </w:rPr>
        <w:t xml:space="preserve">Судья Арбитражного суда Челябинской области Добронравов В.В., при ведении протокола судебного заседания секретарем судебного заседания Брюхановой Я.Ю., рассмотрев в открытом судебном заседании в помещении Арбитражного суда Челябинской области по адресу: г. Челябинск, ул. Воровского, 2, каб. 603, дело по заявлению общества с ограниченной ответственностью "Капитал-Сити", ОГРН 1106670031951, г. Кыштым к Отделению Фонда пенсионного и социального страхования РФ по Челябинской области о признании недействительным решения от 29.07.2024 N 74092450000517,</w:t>
      </w:r>
    </w:p>
    <w:p>
      <w:pPr>
        <w:pStyle w:val="0"/>
        <w:spacing w:before="240" w:line-rule="auto"/>
        <w:ind w:firstLine="540"/>
        <w:jc w:val="both"/>
      </w:pPr>
      <w:r>
        <w:rPr>
          <w:sz w:val="24"/>
        </w:rPr>
        <w:t xml:space="preserve">при участии в судебном заседании представителя заявителя - Кольцова М.П. по доверенности б/н от 01.11.2024,</w:t>
      </w:r>
    </w:p>
    <w:p>
      <w:pPr>
        <w:pStyle w:val="0"/>
        <w:jc w:val="center"/>
      </w:pPr>
      <w:r>
        <w:rPr>
          <w:sz w:val="24"/>
        </w:rPr>
      </w:r>
    </w:p>
    <w:p>
      <w:pPr>
        <w:pStyle w:val="0"/>
        <w:jc w:val="center"/>
      </w:pPr>
      <w:r>
        <w:rPr>
          <w:sz w:val="24"/>
        </w:rPr>
        <w:t xml:space="preserve">установил:</w:t>
      </w:r>
    </w:p>
    <w:p>
      <w:pPr>
        <w:pStyle w:val="0"/>
        <w:jc w:val="center"/>
      </w:pPr>
      <w:r>
        <w:rPr>
          <w:sz w:val="24"/>
        </w:rPr>
      </w:r>
    </w:p>
    <w:p>
      <w:pPr>
        <w:pStyle w:val="0"/>
        <w:ind w:firstLine="540"/>
        <w:jc w:val="both"/>
      </w:pPr>
      <w:r>
        <w:rPr>
          <w:sz w:val="24"/>
        </w:rPr>
        <w:t xml:space="preserve">ООО "Капитал-Сити", г. Кыштым (далее - общество, страхователь) 04.09.2024 обратилось в Арбитражный суд Челябинской области с заявлением к Отделению Фонда пенсионного и социального страхования РФ по Челябинской области (далее - ОСФР по Челябинской области, Фонд) о признании недействительным решения от 29.07.2024 N 74092450000517 о привлечении страхователя к ответственности за совершение правонарушения, выявленного по результатам проверки правильности исчисления, полноты и своевременности уплаты (перечисления) страховых взносов на обязательное социальное страхование от несчастных случаев на производстве и профессиональных заболеваний.</w:t>
      </w:r>
    </w:p>
    <w:p>
      <w:pPr>
        <w:pStyle w:val="0"/>
        <w:spacing w:before="240" w:line-rule="auto"/>
        <w:ind w:firstLine="540"/>
        <w:jc w:val="both"/>
      </w:pPr>
      <w:r>
        <w:rPr>
          <w:sz w:val="24"/>
        </w:rPr>
        <w:t xml:space="preserve">Определением суда от 09.09.2024 заявление принято к производству.</w:t>
      </w:r>
    </w:p>
    <w:p>
      <w:pPr>
        <w:pStyle w:val="0"/>
        <w:spacing w:before="240" w:line-rule="auto"/>
        <w:ind w:firstLine="540"/>
        <w:jc w:val="both"/>
      </w:pPr>
      <w:r>
        <w:rPr>
          <w:sz w:val="24"/>
        </w:rPr>
        <w:t xml:space="preserve">Определением суда от 29.01.2025 судебное заседание отложено на 10.02.2025.</w:t>
      </w:r>
    </w:p>
    <w:p>
      <w:pPr>
        <w:pStyle w:val="0"/>
        <w:spacing w:before="240" w:line-rule="auto"/>
        <w:ind w:firstLine="540"/>
        <w:jc w:val="both"/>
      </w:pPr>
      <w:r>
        <w:rPr>
          <w:sz w:val="24"/>
        </w:rPr>
        <w:t xml:space="preserve">В судебном заседании 10.02.2025 в порядке </w:t>
      </w:r>
      <w:hyperlink w:history="0" r:id="rId7" w:tooltip="&quot;Арбитражный процессуальный кодекс Российской Федерации&quot; от 24.07.2002 N 95-ФЗ (ред. от 01.04.2025) {КонсультантПлюс}">
        <w:r>
          <w:rPr>
            <w:sz w:val="24"/>
            <w:color w:val="0000ff"/>
          </w:rPr>
          <w:t xml:space="preserve">статьи 163</w:t>
        </w:r>
      </w:hyperlink>
      <w:r>
        <w:rPr>
          <w:sz w:val="24"/>
        </w:rPr>
        <w:t xml:space="preserve"> Арбитражного процессуального кодекса Российской Федерации (далее - АПК РФ) объявлен перерыв до 14.02.2025.</w:t>
      </w:r>
    </w:p>
    <w:p>
      <w:pPr>
        <w:pStyle w:val="0"/>
        <w:spacing w:before="240" w:line-rule="auto"/>
        <w:ind w:firstLine="540"/>
        <w:jc w:val="both"/>
      </w:pPr>
      <w:r>
        <w:rPr>
          <w:sz w:val="24"/>
        </w:rPr>
        <w:t xml:space="preserve">Представитель заявителя в судебном заседании заявленные требования поддержал в полном объеме.</w:t>
      </w:r>
    </w:p>
    <w:p>
      <w:pPr>
        <w:pStyle w:val="0"/>
        <w:spacing w:before="240" w:line-rule="auto"/>
        <w:ind w:firstLine="540"/>
        <w:jc w:val="both"/>
      </w:pPr>
      <w:r>
        <w:rPr>
          <w:sz w:val="24"/>
        </w:rPr>
        <w:t xml:space="preserve">Ответчик представителя в судебное заседание не направил, о времени и месте судебного заседания извещен надлежащим образом в соответствии с правилами </w:t>
      </w:r>
      <w:hyperlink w:history="0" r:id="rId8" w:tooltip="&quot;Арбитражный процессуальный кодекс Российской Федерации&quot; от 24.07.2002 N 95-ФЗ (ред. от 01.04.2025) {КонсультантПлюс}">
        <w:r>
          <w:rPr>
            <w:sz w:val="24"/>
            <w:color w:val="0000ff"/>
          </w:rPr>
          <w:t xml:space="preserve">статьи 123</w:t>
        </w:r>
      </w:hyperlink>
      <w:r>
        <w:rPr>
          <w:sz w:val="24"/>
        </w:rPr>
        <w:t xml:space="preserve"> АПК РФ, в том числе путем размещения публичного объявления на официальном сайте суда в сети Интернет.</w:t>
      </w:r>
    </w:p>
    <w:p>
      <w:pPr>
        <w:pStyle w:val="0"/>
        <w:spacing w:before="240" w:line-rule="auto"/>
        <w:ind w:firstLine="540"/>
        <w:jc w:val="both"/>
      </w:pPr>
      <w:r>
        <w:rPr>
          <w:sz w:val="24"/>
        </w:rPr>
        <w:t xml:space="preserve">Неявка в судебное заседание лиц, участвующих в деле, извещенных надлежащим образом, не препятствует рассмотрению дела без их участия (</w:t>
      </w:r>
      <w:hyperlink w:history="0" r:id="rId9" w:tooltip="&quot;Арбитражный процессуальный кодекс Российской Федерации&quot; от 24.07.2002 N 95-ФЗ (ред. от 01.04.2025) {КонсультантПлюс}">
        <w:r>
          <w:rPr>
            <w:sz w:val="24"/>
            <w:color w:val="0000ff"/>
          </w:rPr>
          <w:t xml:space="preserve">пункт 5 статьи 156</w:t>
        </w:r>
      </w:hyperlink>
      <w:r>
        <w:rPr>
          <w:sz w:val="24"/>
        </w:rPr>
        <w:t xml:space="preserve"> АПК РФ).</w:t>
      </w:r>
    </w:p>
    <w:p>
      <w:pPr>
        <w:pStyle w:val="0"/>
        <w:spacing w:before="240" w:line-rule="auto"/>
        <w:ind w:firstLine="540"/>
        <w:jc w:val="both"/>
      </w:pPr>
      <w:r>
        <w:rPr>
          <w:sz w:val="24"/>
        </w:rPr>
        <w:t xml:space="preserve">Как следует из материалов дела, Фондом проведена выездная проверка ООО "Капитал - Сити" по исчислению, полноте, своевременности уплаты страховых взносов на обязательное социальное страхование от несчастных случаев на производстве и профессиональных заболеваний за отчетные периоды 2021, 2022, 2023 годы, в ходе которой установлено нарушение положений статей 20.1, 20.2 Федерального закона от 24.04.1998 N 125-ФЗ "Об обязательном социальном страховании от несчастных случаев на производстве и профессиональных заболеваний" (далее Закон N 125-ФЗ), выразившееся в не включении в базу для исчисления страховых взносов:</w:t>
      </w:r>
    </w:p>
    <w:p>
      <w:pPr>
        <w:pStyle w:val="0"/>
        <w:spacing w:before="240" w:line-rule="auto"/>
        <w:ind w:firstLine="540"/>
        <w:jc w:val="both"/>
      </w:pPr>
      <w:r>
        <w:rPr>
          <w:sz w:val="24"/>
        </w:rPr>
        <w:t xml:space="preserve">- сумм единовременного премиального вознаграждения в сумме 534 750 руб.;</w:t>
      </w:r>
    </w:p>
    <w:p>
      <w:pPr>
        <w:pStyle w:val="0"/>
        <w:spacing w:before="240" w:line-rule="auto"/>
        <w:ind w:firstLine="540"/>
        <w:jc w:val="both"/>
      </w:pPr>
      <w:r>
        <w:rPr>
          <w:sz w:val="24"/>
        </w:rPr>
        <w:t xml:space="preserve">- сумм на оплату расходов работников по прохождению предварительных медицинских осмотров на общую сумму 46 080 руб.</w:t>
      </w:r>
    </w:p>
    <w:p>
      <w:pPr>
        <w:pStyle w:val="0"/>
        <w:spacing w:before="240" w:line-rule="auto"/>
        <w:ind w:firstLine="540"/>
        <w:jc w:val="both"/>
      </w:pPr>
      <w:r>
        <w:rPr>
          <w:sz w:val="24"/>
        </w:rPr>
        <w:t xml:space="preserve">03.07.2024 Фондом был составлен акт проверки N 74092450000514, в котором зафиксированы спорные нарушения. Акт проверки был получен страхователем 03.07.2023.</w:t>
      </w:r>
    </w:p>
    <w:p>
      <w:pPr>
        <w:pStyle w:val="0"/>
        <w:spacing w:before="240" w:line-rule="auto"/>
        <w:ind w:firstLine="540"/>
        <w:jc w:val="both"/>
      </w:pPr>
      <w:r>
        <w:rPr>
          <w:sz w:val="24"/>
        </w:rPr>
        <w:t xml:space="preserve">Согласно акту проверки Фондом установлено занижение обществом базы для начисления страховых взносов за период с 01.01.2021 по 31.12.2023 на сумму 580 830 руб., в связи с чем Фондом сделаны выводы о необходимости доначисления страхователю суммы неуплаченных взносов за указанный период и пени за несвоевременною уплату страховых взносов.</w:t>
      </w:r>
    </w:p>
    <w:p>
      <w:pPr>
        <w:pStyle w:val="0"/>
        <w:spacing w:before="240" w:line-rule="auto"/>
        <w:ind w:firstLine="540"/>
        <w:jc w:val="both"/>
      </w:pPr>
      <w:r>
        <w:rPr>
          <w:sz w:val="24"/>
        </w:rPr>
        <w:t xml:space="preserve">На основании акта проверки, Фондом 29.07.2024 принято решение N 74092450000517 о привлечении страхователя к ответственности за совершение правонарушения, выявленного по результатам проверки правильности исчисления, полноты и своевременности уплаты (перечисления) страховых взносов на обязательное социальное страхование от несчастных случаев на производстве и профессиональных заболеваний, в соответствии с которым ООО ООО "Капитал - Сити" привлечено к ответственности по статье 26.29 Закона N 125-ФЗ за неполную уплата сумм страховых взносов в результате занижения облагаемой базы для начисления страховых взносов, в виде штрафа в размере 232 руб. 33 коп. Страхователю также доначислены страховые взносы на обязательное социальное страхование от несчастных случаях на производстве и профессиональных заболеваний в размере 1 161 руб. 66 коп. и пени в размере 195 руб. 49 коп.</w:t>
      </w:r>
    </w:p>
    <w:p>
      <w:pPr>
        <w:pStyle w:val="0"/>
        <w:spacing w:before="240" w:line-rule="auto"/>
        <w:ind w:firstLine="540"/>
        <w:jc w:val="both"/>
      </w:pPr>
      <w:r>
        <w:rPr>
          <w:sz w:val="24"/>
        </w:rPr>
        <w:t xml:space="preserve">Не согласившись с решением от 29.07.2024, заявитель обратился с рассматриваемыми требованиями в арбитражный суд.</w:t>
      </w:r>
    </w:p>
    <w:p>
      <w:pPr>
        <w:pStyle w:val="0"/>
        <w:spacing w:before="240" w:line-rule="auto"/>
        <w:ind w:firstLine="540"/>
        <w:jc w:val="both"/>
      </w:pPr>
      <w:r>
        <w:rPr>
          <w:sz w:val="24"/>
        </w:rPr>
        <w:t xml:space="preserve">В обоснование заявленных требований заявитель указывает на неправомерность выводов Фонда о занижении страхователем облагаемой базы для начисления страховых взносов на обязательное социальное страхование.</w:t>
      </w:r>
    </w:p>
    <w:p>
      <w:pPr>
        <w:pStyle w:val="0"/>
        <w:spacing w:before="240" w:line-rule="auto"/>
        <w:ind w:firstLine="540"/>
        <w:jc w:val="both"/>
      </w:pPr>
      <w:r>
        <w:rPr>
          <w:sz w:val="24"/>
        </w:rPr>
        <w:t xml:space="preserve">По мнению заявителя, премии ко дню рождения работника, к 8 Марта и 23 Февраля и возмещение работникам денежных средств, затраченных ими на прохождение медицинского осмотра, не являются платой за выполнение работником трудовой функции, не относятся к стимулирующим выплатам в рамках трудовых отношений. Их назначение безусловное, без оценки труда и стажа работника, не зависит от квалификации работника, сложности, качества, количества и условий выполнения сотрудником своих трудовых обязанностей. Иными словами, указанные премии носят социальный характер и не входят в объект обложения страховыми взносами. Соответственно данные выплаты не являются стимулирующими или компенсирующими выплатами и не включены в систему оплаты труда, соответственно, они не являются объектом обложения страховыми взносами.</w:t>
      </w:r>
    </w:p>
    <w:p>
      <w:pPr>
        <w:pStyle w:val="0"/>
        <w:spacing w:before="240" w:line-rule="auto"/>
        <w:ind w:firstLine="540"/>
        <w:jc w:val="both"/>
      </w:pPr>
      <w:r>
        <w:rPr>
          <w:sz w:val="24"/>
        </w:rPr>
        <w:t xml:space="preserve">Возражая в отношении заявленных требований, Фонд ссылается на то, что спорные выплаты, предусмотренные в локальных актах организации, направлены на стимулирование работников осуществлять трудовую деятельность именно у данного работодателя, в связи с чем, выплата премии осуществляется в рамках трудовых отношений. Кроме того, возмещение работникам денежных средств, затраченных ими на прохождение предварительного медицинского осмотра, произведено неправомерно, поскольку в п. 1 ст. 20.2 Закона N 125-ФЗ указанные расходы не поименованы как расходы, на которые могут не начисляться страховые взносы.</w:t>
      </w:r>
    </w:p>
    <w:p>
      <w:pPr>
        <w:pStyle w:val="0"/>
        <w:spacing w:before="240" w:line-rule="auto"/>
        <w:ind w:firstLine="540"/>
        <w:jc w:val="both"/>
      </w:pPr>
      <w:r>
        <w:rPr>
          <w:sz w:val="24"/>
        </w:rPr>
        <w:t xml:space="preserve">Исследовав письменные материалы дела и доводы сторон спора, суд приходит к следующим выводам.</w:t>
      </w:r>
    </w:p>
    <w:p>
      <w:pPr>
        <w:pStyle w:val="0"/>
        <w:spacing w:before="240" w:line-rule="auto"/>
        <w:ind w:firstLine="540"/>
        <w:jc w:val="both"/>
      </w:pPr>
      <w:r>
        <w:rPr>
          <w:sz w:val="24"/>
        </w:rPr>
        <w:t xml:space="preserve">В соответствии с </w:t>
      </w:r>
      <w:hyperlink w:history="0" r:id="rId10" w:tooltip="&quot;Арбитражный процессуальный кодекс Российской Федерации&quot; от 24.07.2002 N 95-ФЗ (ред. от 01.04.2025) {КонсультантПлюс}">
        <w:r>
          <w:rPr>
            <w:sz w:val="24"/>
            <w:color w:val="0000ff"/>
          </w:rPr>
          <w:t xml:space="preserve">частью 1 статьи 198</w:t>
        </w:r>
      </w:hyperlink>
      <w:r>
        <w:rPr>
          <w:sz w:val="24"/>
        </w:rPr>
        <w:t xml:space="preserve"> АПК РФ граждане, организации и иные лица вправе обратиться в арбитражный суд с заявлением о признании недействительными ненормативных правовых актов, незаконными решений и действий (бездействия) органов, осуществляющих публичные полномочия, должностных лиц, если полагают, что оспариваемый ненормативный правовой акт, решение и действие (бездействие) не соответствуют закону или иному нормативному правовому акту и нарушают их права и законные интересы в сфере предпринимательской и иной экономической деятельности, незаконно возлагают на них какие-либо обязанности, создают иные препятствия для осуществления предпринимательской и иной экономической деятельности.</w:t>
      </w:r>
    </w:p>
    <w:p>
      <w:pPr>
        <w:pStyle w:val="0"/>
        <w:spacing w:before="240" w:line-rule="auto"/>
        <w:ind w:firstLine="540"/>
        <w:jc w:val="both"/>
      </w:pPr>
      <w:r>
        <w:rPr>
          <w:sz w:val="24"/>
        </w:rPr>
        <w:t xml:space="preserve">Обязанность доказывания соответствия оспариваемого ненормативного правового акта закону или иному нормативному правовому акту, законности принятия оспариваемого решения, совершения оспариваемых действий (бездействия), наличия у органа или лица надлежащих полномочий на принятие оспариваемого акта, решения, совершение оспариваемых действий (бездействия), а также обстоятельств, послуживших основанием для принятия оспариваемого акта, решения, совершения оспариваемых действий (бездействия), возлагается на орган или лицо, которые приняли акт, решение или совершили действия (бездействие) (</w:t>
      </w:r>
      <w:hyperlink w:history="0" r:id="rId11" w:tooltip="&quot;Арбитражный процессуальный кодекс Российской Федерации&quot; от 24.07.2002 N 95-ФЗ (ред. от 01.04.2025) {КонсультантПлюс}">
        <w:r>
          <w:rPr>
            <w:sz w:val="24"/>
            <w:color w:val="0000ff"/>
          </w:rPr>
          <w:t xml:space="preserve">ч. 5 ст. 200</w:t>
        </w:r>
      </w:hyperlink>
      <w:r>
        <w:rPr>
          <w:sz w:val="24"/>
        </w:rPr>
        <w:t xml:space="preserve"> АПК РФ).</w:t>
      </w:r>
    </w:p>
    <w:p>
      <w:pPr>
        <w:pStyle w:val="0"/>
        <w:spacing w:before="240" w:line-rule="auto"/>
        <w:ind w:firstLine="540"/>
        <w:jc w:val="both"/>
      </w:pPr>
      <w:r>
        <w:rPr>
          <w:sz w:val="24"/>
        </w:rPr>
        <w:t xml:space="preserve">Согласно </w:t>
      </w:r>
      <w:hyperlink w:history="0" r:id="rId12" w:tooltip="Федеральный закон от 16.07.1999 N 165-ФЗ (ред. от 29.10.2024) &quot;Об основах обязательного социального страхования&quot; {КонсультантПлюс}">
        <w:r>
          <w:rPr>
            <w:sz w:val="24"/>
            <w:color w:val="0000ff"/>
          </w:rPr>
          <w:t xml:space="preserve">статье 1</w:t>
        </w:r>
      </w:hyperlink>
      <w:r>
        <w:rPr>
          <w:sz w:val="24"/>
        </w:rPr>
        <w:t xml:space="preserve"> Федерального закона от 16.07.1999 N 165-ФЗ "Об основах обязательного социального страхования" (далее - Закон N 165-ФЗ), обязательное социальное страхование является частью государственной системы социальной защиты населения, спецификой которой является осуществляемое в соответствии с федеральным законом страхование работающих граждан и иных категорий граждан от возможного изменения материального и (или) социального положения, в том числе по независящим от них обстоятельствам.</w:t>
      </w:r>
    </w:p>
    <w:p>
      <w:pPr>
        <w:pStyle w:val="0"/>
        <w:spacing w:before="240" w:line-rule="auto"/>
        <w:ind w:firstLine="540"/>
        <w:jc w:val="both"/>
      </w:pPr>
      <w:r>
        <w:rPr>
          <w:sz w:val="24"/>
        </w:rPr>
        <w:t xml:space="preserve">Обязанность страховщиков обеспечивать контроль за правильным начислением, своевременной уплатой и перечислением страховых взносов возлагается на Фонд в отношении страхователей, которым в данном случае является общество (</w:t>
      </w:r>
      <w:hyperlink w:history="0" r:id="rId13" w:tooltip="Федеральный закон от 16.07.1999 N 165-ФЗ (ред. от 29.10.2024) &quot;Об основах обязательного социального страхования&quot; {КонсультантПлюс}">
        <w:r>
          <w:rPr>
            <w:sz w:val="24"/>
            <w:color w:val="0000ff"/>
          </w:rPr>
          <w:t xml:space="preserve">подпункт 4 пункта 2 статьи 11</w:t>
        </w:r>
      </w:hyperlink>
      <w:r>
        <w:rPr>
          <w:sz w:val="24"/>
        </w:rPr>
        <w:t xml:space="preserve"> Закона N 165-ФЗ).</w:t>
      </w:r>
    </w:p>
    <w:p>
      <w:pPr>
        <w:pStyle w:val="0"/>
        <w:spacing w:before="240" w:line-rule="auto"/>
        <w:ind w:firstLine="540"/>
        <w:jc w:val="both"/>
      </w:pPr>
      <w:r>
        <w:rPr>
          <w:sz w:val="24"/>
        </w:rPr>
        <w:t xml:space="preserve">Правовые, экономические и организационные основы обязательного социального страхования от несчастных случаев на производстве и профессиональных заболеваний установлены Федеральным </w:t>
      </w:r>
      <w:hyperlink w:history="0" r:id="rId14" w:tooltip="Федеральный закон от 24.07.1998 N 125-ФЗ (ред. от 29.05.2024) &quot;Об обязательном социальном страховании от несчастных случаев на производстве и профессиональных заболеваний&quot; {КонсультантПлюс}">
        <w:r>
          <w:rPr>
            <w:sz w:val="24"/>
            <w:color w:val="0000ff"/>
          </w:rPr>
          <w:t xml:space="preserve">законом</w:t>
        </w:r>
      </w:hyperlink>
      <w:r>
        <w:rPr>
          <w:sz w:val="24"/>
        </w:rPr>
        <w:t xml:space="preserve"> от 24.07.1998 N 125-ФЗ "Об обязательном социальном страховании от несчастных случаев на производстве и профессиональных заболеваний".</w:t>
      </w:r>
    </w:p>
    <w:p>
      <w:pPr>
        <w:pStyle w:val="0"/>
        <w:spacing w:before="240" w:line-rule="auto"/>
        <w:ind w:firstLine="540"/>
        <w:jc w:val="both"/>
      </w:pPr>
      <w:r>
        <w:rPr>
          <w:sz w:val="24"/>
        </w:rPr>
        <w:t xml:space="preserve">Согласно подпункту 2 пункта 2 статьи 17 Закона N 125-ФЗ страхователь обязан правильно исчислять, своевременно и в полном объеме уплачивать (перечислять) страховые взносы.</w:t>
      </w:r>
    </w:p>
    <w:p>
      <w:pPr>
        <w:pStyle w:val="0"/>
        <w:spacing w:before="240" w:line-rule="auto"/>
        <w:ind w:firstLine="540"/>
        <w:jc w:val="both"/>
      </w:pPr>
      <w:r>
        <w:rPr>
          <w:sz w:val="24"/>
        </w:rPr>
        <w:t xml:space="preserve">Пунктами 1 - 2 статьи 20.1 Закона N 125-ФЗ установлено, что объектом обложения страховыми взносами признаются выплаты и иные вознаграждения, начисляемые страхователями в пользу застрахованных в рамках трудовых отношений и гражданско-правовых договоров, предметом которых являются выполнение работ и (или) оказание услуг, договора авторского заказа, если в соответствии с указанными договорами заказчик обязан уплачивать страховщику страховые взносы.</w:t>
      </w:r>
    </w:p>
    <w:p>
      <w:pPr>
        <w:pStyle w:val="0"/>
        <w:spacing w:before="240" w:line-rule="auto"/>
        <w:ind w:firstLine="540"/>
        <w:jc w:val="both"/>
      </w:pPr>
      <w:r>
        <w:rPr>
          <w:sz w:val="24"/>
        </w:rPr>
        <w:t xml:space="preserve">База для начисления страховых взносов определяется как сумма выплат и иных вознаграждений, предусмотренных пунктом 1 настоящей статьи, начисленных страхователями в пользу застрахованных, за исключением сумм, указанных в статье 20.2 настоящего Федерального закона.</w:t>
      </w:r>
    </w:p>
    <w:p>
      <w:pPr>
        <w:pStyle w:val="0"/>
        <w:spacing w:before="240" w:line-rule="auto"/>
        <w:ind w:firstLine="540"/>
        <w:jc w:val="both"/>
      </w:pPr>
      <w:r>
        <w:rPr>
          <w:sz w:val="24"/>
        </w:rPr>
        <w:t xml:space="preserve">В статье 20.2 Закона N 125-ФЗ приведен исчерпывающий перечень законодательно установленных и необлагаемых страховыми взносами выплат физическим лицам.</w:t>
      </w:r>
    </w:p>
    <w:p>
      <w:pPr>
        <w:pStyle w:val="0"/>
        <w:spacing w:before="240" w:line-rule="auto"/>
        <w:ind w:firstLine="540"/>
        <w:jc w:val="both"/>
      </w:pPr>
      <w:r>
        <w:rPr>
          <w:sz w:val="24"/>
        </w:rPr>
        <w:t xml:space="preserve">Как следует из материалов дела, страхователем в проверяемом периоде были исключены из базы для начисления страховых взносов суммы:</w:t>
      </w:r>
    </w:p>
    <w:p>
      <w:pPr>
        <w:pStyle w:val="0"/>
        <w:spacing w:before="240" w:line-rule="auto"/>
        <w:ind w:firstLine="540"/>
        <w:jc w:val="both"/>
      </w:pPr>
      <w:r>
        <w:rPr>
          <w:sz w:val="24"/>
        </w:rPr>
        <w:t xml:space="preserve">1) единовременного премиального вознаграждения в размере 534 750,00 рублей, в том числе:</w:t>
      </w:r>
    </w:p>
    <w:p>
      <w:pPr>
        <w:pStyle w:val="0"/>
        <w:spacing w:before="240" w:line-rule="auto"/>
        <w:ind w:firstLine="540"/>
        <w:jc w:val="both"/>
      </w:pPr>
      <w:r>
        <w:rPr>
          <w:sz w:val="24"/>
        </w:rPr>
        <w:t xml:space="preserve">- в 2021 году - 186300,00 руб., из них: ко дню рождения 27 работникам на сумму 93150,00 руб.; в связи с праздником "День защитника Отечества" 16 работникам на сумму 55200,00 руб.; в связи с праздником "Международный женский день" 11 работникам на сумму 37950,00 руб.</w:t>
      </w:r>
    </w:p>
    <w:p>
      <w:pPr>
        <w:pStyle w:val="0"/>
        <w:spacing w:before="240" w:line-rule="auto"/>
        <w:ind w:firstLine="540"/>
        <w:jc w:val="both"/>
      </w:pPr>
      <w:r>
        <w:rPr>
          <w:sz w:val="24"/>
        </w:rPr>
        <w:t xml:space="preserve">- в 2022 году - 172500,00 руб., из них: ко дню рождения 24 работникам на сумму 82800,00 руб.; в связи с праздником "День защитника Отечества" 14 работникам на сумму 48300,00 руб.; в связи с праздником "Международный женский день" 12 работникам на сумму 41400,00 руб.</w:t>
      </w:r>
    </w:p>
    <w:p>
      <w:pPr>
        <w:pStyle w:val="0"/>
        <w:spacing w:before="240" w:line-rule="auto"/>
        <w:ind w:firstLine="540"/>
        <w:jc w:val="both"/>
      </w:pPr>
      <w:r>
        <w:rPr>
          <w:sz w:val="24"/>
        </w:rPr>
        <w:t xml:space="preserve">- в 2023 году - 175950,00 руб., из них ко дню рождения 28 работникам на сумму 96600,00 руб.; в связи с праздником "День защитника Отечества" 1 1 работникам на сумму 37950,00 руб.; в связи с праздником "Международный женский день" 12 работникам на сумму 41400,00 руб.</w:t>
      </w:r>
    </w:p>
    <w:p>
      <w:pPr>
        <w:pStyle w:val="0"/>
        <w:spacing w:before="240" w:line-rule="auto"/>
        <w:ind w:firstLine="540"/>
        <w:jc w:val="both"/>
      </w:pPr>
      <w:r>
        <w:rPr>
          <w:sz w:val="24"/>
        </w:rPr>
        <w:t xml:space="preserve">По тогам проверки, Фондом сделаны выводы о неправомерности исключения указанных выплат работникам из базы для начисления страховых взносов.</w:t>
      </w:r>
    </w:p>
    <w:p>
      <w:pPr>
        <w:pStyle w:val="0"/>
        <w:spacing w:before="240" w:line-rule="auto"/>
        <w:ind w:firstLine="540"/>
        <w:jc w:val="both"/>
      </w:pPr>
      <w:r>
        <w:rPr>
          <w:sz w:val="24"/>
        </w:rPr>
        <w:t xml:space="preserve">Сумма дополнительно начисленных взносов составила 1069,50 рублей (534750,00 руб. * 0,270).</w:t>
      </w:r>
    </w:p>
    <w:p>
      <w:pPr>
        <w:pStyle w:val="0"/>
        <w:spacing w:before="240" w:line-rule="auto"/>
        <w:ind w:firstLine="540"/>
        <w:jc w:val="both"/>
      </w:pPr>
      <w:r>
        <w:rPr>
          <w:sz w:val="24"/>
        </w:rPr>
        <w:t xml:space="preserve">Кроме того, в проверяемом периоде обществом компенсировались работникам расходы на проведение предварительного (перед поступлением на работу) медицинского осмотра, на сумму которых не начислялись страховые взносы.</w:t>
      </w:r>
    </w:p>
    <w:p>
      <w:pPr>
        <w:pStyle w:val="0"/>
        <w:spacing w:before="240" w:line-rule="auto"/>
        <w:ind w:firstLine="540"/>
        <w:jc w:val="both"/>
      </w:pPr>
      <w:r>
        <w:rPr>
          <w:sz w:val="24"/>
        </w:rPr>
        <w:t xml:space="preserve">Договоры на оказание платных медицинских услуг заключались напрямую между физическими лицами - претендентами на работу и медицинскими Учреждениями: ГБУЗ "Карталинская городская больница", ГБУЗ "Областная клиническая специализированная психоневрологическая больница N 1", ГБУЗ "Районная больница с. Варна", ЧУЗ "РЖД-Медицина" г. Карталы, ГБУЗ "Городская больница г. Карабаш", ГБУЗ "ОПНБ N 5, ГБУЗ "ОПНД".</w:t>
      </w:r>
    </w:p>
    <w:p>
      <w:pPr>
        <w:pStyle w:val="0"/>
        <w:spacing w:before="240" w:line-rule="auto"/>
        <w:ind w:firstLine="540"/>
        <w:jc w:val="both"/>
      </w:pPr>
      <w:r>
        <w:rPr>
          <w:sz w:val="24"/>
        </w:rPr>
        <w:t xml:space="preserve">В соответствии с условиями каждого договора медицинской организации с физическим лицом, данные договоры считаются заключенными и действуют до исполнения обязательств по настоящим договорам, т.е. срок действия договоров менее 1 года.</w:t>
      </w:r>
    </w:p>
    <w:p>
      <w:pPr>
        <w:pStyle w:val="0"/>
        <w:spacing w:before="240" w:line-rule="auto"/>
        <w:ind w:firstLine="540"/>
        <w:jc w:val="both"/>
      </w:pPr>
      <w:r>
        <w:rPr>
          <w:sz w:val="24"/>
        </w:rPr>
        <w:t xml:space="preserve">База для доначисления страховых взносов по расходам страхователя на предварительные медицинские осмотры составила 46080,00 руб., из них:</w:t>
      </w:r>
    </w:p>
    <w:p>
      <w:pPr>
        <w:pStyle w:val="0"/>
        <w:spacing w:before="240" w:line-rule="auto"/>
        <w:ind w:firstLine="540"/>
        <w:jc w:val="both"/>
      </w:pPr>
      <w:r>
        <w:rPr>
          <w:sz w:val="24"/>
        </w:rPr>
        <w:t xml:space="preserve">- в 2021 году - 7580,00 руб. (по работникам: Авдеев А.В. - 3720,00 руб., Пашевский А.В. - 1460,00 руб., Василевская ИВ. - 1200,00 руб., Сабитов ЕР. 1200,00 руб.),</w:t>
      </w:r>
    </w:p>
    <w:p>
      <w:pPr>
        <w:pStyle w:val="0"/>
        <w:spacing w:before="240" w:line-rule="auto"/>
        <w:ind w:firstLine="540"/>
        <w:jc w:val="both"/>
      </w:pPr>
      <w:r>
        <w:rPr>
          <w:sz w:val="24"/>
        </w:rPr>
        <w:t xml:space="preserve">- в 2022 году - 28130,00 руб. (по работникам: Ярыгин АС. - 4490,00 pv6., Бикбаторов Т.К. - 2400,00 руб., Барановская КС. - 3610,00 руб., Зырянов СМ. 3150,00 руб. Зырянов А.Ю. - 3150,00 руб., Зотова И.Ю. - 4610,00 руб., Шумкова НС. - 2950,00 руб., Чукавин А.Н. - 3770,00 руб.),</w:t>
      </w:r>
    </w:p>
    <w:p>
      <w:pPr>
        <w:pStyle w:val="0"/>
        <w:spacing w:before="240" w:line-rule="auto"/>
        <w:ind w:firstLine="540"/>
        <w:jc w:val="both"/>
      </w:pPr>
      <w:r>
        <w:rPr>
          <w:sz w:val="24"/>
        </w:rPr>
        <w:t xml:space="preserve">- в 2023 году - 10370,00 руб. (по работникам: Лукьяненко ХА. - 3770,00 руб., Баклаков А.С. - 3300,00 руб., Выдрин А.Г. - 3300,00 руб.).</w:t>
      </w:r>
    </w:p>
    <w:p>
      <w:pPr>
        <w:pStyle w:val="0"/>
        <w:spacing w:before="240" w:line-rule="auto"/>
        <w:ind w:firstLine="540"/>
        <w:jc w:val="both"/>
      </w:pPr>
      <w:r>
        <w:rPr>
          <w:sz w:val="24"/>
        </w:rPr>
        <w:t xml:space="preserve">По тогам проверки, Фондом сделаны выводы о неправомерности исключения указанных выплат работникам из базы для начисления страховых взносов.</w:t>
      </w:r>
    </w:p>
    <w:p>
      <w:pPr>
        <w:pStyle w:val="0"/>
        <w:spacing w:before="240" w:line-rule="auto"/>
        <w:ind w:firstLine="540"/>
        <w:jc w:val="both"/>
      </w:pPr>
      <w:r>
        <w:rPr>
          <w:sz w:val="24"/>
        </w:rPr>
        <w:t xml:space="preserve">Сумма дополнительно начисленных взносов составила 92,16 руб. (46080,00 руб. * 0,270).</w:t>
      </w:r>
    </w:p>
    <w:p>
      <w:pPr>
        <w:pStyle w:val="0"/>
        <w:spacing w:before="240" w:line-rule="auto"/>
        <w:ind w:firstLine="540"/>
        <w:jc w:val="both"/>
      </w:pPr>
      <w:r>
        <w:rPr>
          <w:sz w:val="24"/>
        </w:rPr>
        <w:t xml:space="preserve">Общая сумма дополнительно начисленных взносов составила 1 161,66 руб. (1069,50 руб. + 92,16 руб.),</w:t>
      </w:r>
    </w:p>
    <w:p>
      <w:pPr>
        <w:pStyle w:val="0"/>
        <w:spacing w:before="240" w:line-rule="auto"/>
        <w:ind w:firstLine="540"/>
        <w:jc w:val="both"/>
      </w:pPr>
      <w:r>
        <w:rPr>
          <w:sz w:val="24"/>
        </w:rPr>
        <w:t xml:space="preserve">На сумму дополнительно начисленных взносов начислены пени в размере 1/300 ставки рефинансирования Центрального банка Российской Федерации в общей сумме 195.49 рублей.</w:t>
      </w:r>
    </w:p>
    <w:p>
      <w:pPr>
        <w:pStyle w:val="0"/>
        <w:spacing w:before="240" w:line-rule="auto"/>
        <w:ind w:firstLine="540"/>
        <w:jc w:val="both"/>
      </w:pPr>
      <w:r>
        <w:rPr>
          <w:sz w:val="24"/>
        </w:rPr>
        <w:t xml:space="preserve">По мнению Фонда, поскольку выплата премий работникам и оплата стоимости прохождения медосмотров работниками в перечне статьи 20.2 Закона N 125-ФЗ не указаны, следовательно, на основании пункта 1 статьи 20.1 Закона N 125-ФЗ указанные выплаты независимо от источников финансирования подлежат обложению страховыми взносами.</w:t>
      </w:r>
    </w:p>
    <w:p>
      <w:pPr>
        <w:pStyle w:val="0"/>
        <w:spacing w:before="240" w:line-rule="auto"/>
        <w:ind w:firstLine="540"/>
        <w:jc w:val="both"/>
      </w:pPr>
      <w:hyperlink w:history="0" r:id="rId15"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Подпунктом 1 части 1 статьи 420</w:t>
        </w:r>
      </w:hyperlink>
      <w:r>
        <w:rPr>
          <w:sz w:val="24"/>
        </w:rPr>
        <w:t xml:space="preserve"> Налогового кодекса Российской Федерации (далее - НК РФ) установлено, что объектом обложения страховыми взносами для плательщиков, указанных в </w:t>
      </w:r>
      <w:hyperlink w:history="0" r:id="rId16"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абзацах втором</w:t>
        </w:r>
      </w:hyperlink>
      <w:r>
        <w:rPr>
          <w:sz w:val="24"/>
        </w:rPr>
        <w:t xml:space="preserve"> и </w:t>
      </w:r>
      <w:hyperlink w:history="0" r:id="rId17"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третьем подпункта 1 пункта 1 статьи 419</w:t>
        </w:r>
      </w:hyperlink>
      <w:r>
        <w:rPr>
          <w:sz w:val="24"/>
        </w:rPr>
        <w:t xml:space="preserve"> настоящего Кодекса, если иное не предусмотрено настоящей </w:t>
      </w:r>
      <w:hyperlink w:history="0" r:id="rId18"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статьей</w:t>
        </w:r>
      </w:hyperlink>
      <w:r>
        <w:rPr>
          <w:sz w:val="24"/>
        </w:rPr>
        <w:t xml:space="preserve">, признаются выплаты и иные вознаграждения в пользу физических лиц, подлежащих обязательному социальному страхованию в соответствии с федеральными законами о конкретных видах обязательного социального страхования (за исключением вознаграждений, выплачиваемых лицам, указанным в </w:t>
      </w:r>
      <w:hyperlink w:history="0" r:id="rId19"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подпункте 2 пункта 1 статьи 419</w:t>
        </w:r>
      </w:hyperlink>
      <w:r>
        <w:rPr>
          <w:sz w:val="24"/>
        </w:rPr>
        <w:t xml:space="preserve"> настоящего Кодекса), в том числе, в рамках трудовых отношений и по гражданско-правовым договорам, предметом которых являются выполнение работ, оказание услуг.</w:t>
      </w:r>
    </w:p>
    <w:p>
      <w:pPr>
        <w:pStyle w:val="0"/>
        <w:spacing w:before="240" w:line-rule="auto"/>
        <w:ind w:firstLine="540"/>
        <w:jc w:val="both"/>
      </w:pPr>
      <w:r>
        <w:rPr>
          <w:sz w:val="24"/>
        </w:rPr>
        <w:t xml:space="preserve">База для исчисления страховых взносов для плательщиков, указанных в абзацах втором и третьем подпункта 1 пункта 1 статьи 419 настоящего Кодекса, определяется по истечении каждого календарного месяца как сумма выплат и иных вознаграждений, предусмотренных </w:t>
      </w:r>
      <w:hyperlink w:history="0" r:id="rId20"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пунктом 1 статьи 420</w:t>
        </w:r>
      </w:hyperlink>
      <w:r>
        <w:rPr>
          <w:sz w:val="24"/>
        </w:rPr>
        <w:t xml:space="preserve"> настоящего Кодекса, начисленных отдельно в отношении каждого физического лица с начала расчетного периода нарастающим итогом, за исключением сумм, указанных в </w:t>
      </w:r>
      <w:hyperlink w:history="0" r:id="rId21"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статье 422</w:t>
        </w:r>
      </w:hyperlink>
      <w:r>
        <w:rPr>
          <w:sz w:val="24"/>
        </w:rPr>
        <w:t xml:space="preserve"> настоящего Кодекса (</w:t>
      </w:r>
      <w:hyperlink w:history="0" r:id="rId22"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часть 1 статьи 421</w:t>
        </w:r>
      </w:hyperlink>
      <w:r>
        <w:rPr>
          <w:sz w:val="24"/>
        </w:rPr>
        <w:t xml:space="preserve"> НК РФ).</w:t>
      </w:r>
    </w:p>
    <w:p>
      <w:pPr>
        <w:pStyle w:val="0"/>
        <w:spacing w:before="240" w:line-rule="auto"/>
        <w:ind w:firstLine="540"/>
        <w:jc w:val="both"/>
      </w:pPr>
      <w:r>
        <w:rPr>
          <w:sz w:val="24"/>
        </w:rPr>
        <w:t xml:space="preserve">В соответствии со </w:t>
      </w:r>
      <w:hyperlink w:history="0" r:id="rId23" w:tooltip="&quot;Трудовой кодекс Российской Федерации&quot; от 30.12.2001 N 197-ФЗ (ред. от 26.12.2024) ------------ Недействующая редакция {КонсультантПлюс}">
        <w:r>
          <w:rPr>
            <w:sz w:val="24"/>
            <w:color w:val="0000ff"/>
          </w:rPr>
          <w:t xml:space="preserve">статьей 15</w:t>
        </w:r>
      </w:hyperlink>
      <w:r>
        <w:rPr>
          <w:sz w:val="24"/>
        </w:rPr>
        <w:t xml:space="preserve"> ТК РФ под трудовыми отношениями понимаются отношения, основанные на соглашении между работником и работодателем о личном выполнении работником за плату трудовой функции (работы по должности в соответствии со штатным расписанием, профессии, специальности с указанием квалификации; конкретного вида поручаемой работнику работы), подчинении работника правилам внутреннего трудового распорядка при обеспечении работодателем условий труда, предусмотренных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w:t>
      </w:r>
    </w:p>
    <w:p>
      <w:pPr>
        <w:pStyle w:val="0"/>
        <w:spacing w:before="240" w:line-rule="auto"/>
        <w:ind w:firstLine="540"/>
        <w:jc w:val="both"/>
      </w:pPr>
      <w:r>
        <w:rPr>
          <w:sz w:val="24"/>
        </w:rPr>
        <w:t xml:space="preserve">В соответствии со </w:t>
      </w:r>
      <w:hyperlink w:history="0" r:id="rId24" w:tooltip="&quot;Трудовой кодекс Российской Федерации&quot; от 30.12.2001 N 197-ФЗ (ред. от 26.12.2024) ------------ Недействующая редакция {КонсультантПлюс}">
        <w:r>
          <w:rPr>
            <w:sz w:val="24"/>
            <w:color w:val="0000ff"/>
          </w:rPr>
          <w:t xml:space="preserve">статьей 16</w:t>
        </w:r>
      </w:hyperlink>
      <w:r>
        <w:rPr>
          <w:sz w:val="24"/>
        </w:rPr>
        <w:t xml:space="preserve"> ТК РФ трудовые отношения возникают между работником и работодателем на основании трудового договора, заключаемого ими в соответствии с </w:t>
      </w:r>
      <w:hyperlink w:history="0" r:id="rId25" w:tooltip="&quot;Трудовой кодекс Российской Федерации&quot; от 30.12.2001 N 197-ФЗ (ред. от 26.12.2024) ------------ Недействующая редакция {КонсультантПлюс}">
        <w:r>
          <w:rPr>
            <w:sz w:val="24"/>
            <w:color w:val="0000ff"/>
          </w:rPr>
          <w:t xml:space="preserve">Кодексом</w:t>
        </w:r>
      </w:hyperlink>
      <w:r>
        <w:rPr>
          <w:sz w:val="24"/>
        </w:rPr>
        <w:t xml:space="preserve">, а также в результате назначения на должность или утверждения в должности.</w:t>
      </w:r>
    </w:p>
    <w:p>
      <w:pPr>
        <w:pStyle w:val="0"/>
        <w:spacing w:before="240" w:line-rule="auto"/>
        <w:ind w:firstLine="540"/>
        <w:jc w:val="both"/>
      </w:pPr>
      <w:r>
        <w:rPr>
          <w:sz w:val="24"/>
        </w:rPr>
        <w:t xml:space="preserve">В силу </w:t>
      </w:r>
      <w:hyperlink w:history="0" r:id="rId26" w:tooltip="&quot;Трудовой кодекс Российской Федерации&quot; от 30.12.2001 N 197-ФЗ (ред. от 26.12.2024) ------------ Недействующая редакция {КонсультантПлюс}">
        <w:r>
          <w:rPr>
            <w:sz w:val="24"/>
            <w:color w:val="0000ff"/>
          </w:rPr>
          <w:t xml:space="preserve">статьи 135</w:t>
        </w:r>
      </w:hyperlink>
      <w:r>
        <w:rPr>
          <w:sz w:val="24"/>
        </w:rPr>
        <w:t xml:space="preserve"> Трудового кодекса РФ заработная плата работнику устанавливается трудовым договором в соответствии с действующим у данного работодателя системами оплаты труда. Системы оплаты труда, включая размеры тарифных ставок, окладов, доплат и надбавок компенсационного характера, системы доплат и надбавок стимулирующего характера и системы премирования устанавливаются коллективными договорами, соглашениями, локальными нормативными актами.</w:t>
      </w:r>
    </w:p>
    <w:p>
      <w:pPr>
        <w:pStyle w:val="0"/>
        <w:spacing w:before="240" w:line-rule="auto"/>
        <w:ind w:firstLine="540"/>
        <w:jc w:val="both"/>
      </w:pPr>
      <w:r>
        <w:rPr>
          <w:sz w:val="24"/>
        </w:rPr>
        <w:t xml:space="preserve">Исходя из </w:t>
      </w:r>
      <w:hyperlink w:history="0" r:id="rId27" w:tooltip="&quot;Трудовой кодекс Российской Федерации&quot; от 30.12.2001 N 197-ФЗ (ред. от 26.12.2024) ------------ Недействующая редакция {КонсультантПлюс}">
        <w:r>
          <w:rPr>
            <w:sz w:val="24"/>
            <w:color w:val="0000ff"/>
          </w:rPr>
          <w:t xml:space="preserve">статьи 164</w:t>
        </w:r>
      </w:hyperlink>
      <w:r>
        <w:rPr>
          <w:sz w:val="24"/>
        </w:rPr>
        <w:t xml:space="preserve"> Трудового кодекса РФ под компенсациями понимаются денежные выплаты, установленные в целях возмещения работникам затрат, связанных с исполнением ими трудовых или иных предусмотренных федеральным законом обязанностей. Указанные выплаты не входят в систему оплаты труда и производятся работнику в качестве компенсации его затрат, связанных с выполнением трудовых обязанностей.</w:t>
      </w:r>
    </w:p>
    <w:p>
      <w:pPr>
        <w:pStyle w:val="0"/>
        <w:spacing w:before="240" w:line-rule="auto"/>
        <w:ind w:firstLine="540"/>
        <w:jc w:val="both"/>
      </w:pPr>
      <w:r>
        <w:rPr>
          <w:sz w:val="24"/>
        </w:rPr>
        <w:t xml:space="preserve">Второй вид компенсационных выплат определен </w:t>
      </w:r>
      <w:hyperlink w:history="0" r:id="rId28" w:tooltip="&quot;Трудовой кодекс Российской Федерации&quot; от 30.12.2001 N 197-ФЗ (ред. от 26.12.2024) ------------ Недействующая редакция {КонсультантПлюс}">
        <w:r>
          <w:rPr>
            <w:sz w:val="24"/>
            <w:color w:val="0000ff"/>
          </w:rPr>
          <w:t xml:space="preserve">статьей 129</w:t>
        </w:r>
      </w:hyperlink>
      <w:r>
        <w:rPr>
          <w:sz w:val="24"/>
        </w:rPr>
        <w:t xml:space="preserve"> Трудового кодекса РФ, в соответствии с которой заработная плата работников состоит из двух основных частей: непосредственного вознаграждения за труд и выплат компенсационного и стимулирующего характера. При этом компенсации в смысле </w:t>
      </w:r>
      <w:hyperlink w:history="0" r:id="rId29" w:tooltip="&quot;Трудовой кодекс Российской Федерации&quot; от 30.12.2001 N 197-ФЗ (ред. от 26.12.2024) ------------ Недействующая редакция {КонсультантПлюс}">
        <w:r>
          <w:rPr>
            <w:sz w:val="24"/>
            <w:color w:val="0000ff"/>
          </w:rPr>
          <w:t xml:space="preserve">статьи 129</w:t>
        </w:r>
      </w:hyperlink>
      <w:r>
        <w:rPr>
          <w:sz w:val="24"/>
        </w:rPr>
        <w:t xml:space="preserve"> Трудового кодекса РФ являются элементами оплаты труда и не призваны возместить физическим лицам конкретные затраты, связанные с непосредственным выполнением трудовых обязанностей.</w:t>
      </w:r>
    </w:p>
    <w:p>
      <w:pPr>
        <w:pStyle w:val="0"/>
        <w:spacing w:before="240" w:line-rule="auto"/>
        <w:ind w:firstLine="540"/>
        <w:jc w:val="both"/>
      </w:pPr>
      <w:r>
        <w:rPr>
          <w:sz w:val="24"/>
        </w:rPr>
        <w:t xml:space="preserve">Согласно </w:t>
      </w:r>
      <w:hyperlink w:history="0" r:id="rId30" w:tooltip="&quot;Трудовой кодекс Российской Федерации&quot; от 30.12.2001 N 197-ФЗ (ред. от 26.12.2024) ------------ Недействующая редакция {КонсультантПлюс}">
        <w:r>
          <w:rPr>
            <w:sz w:val="24"/>
            <w:color w:val="0000ff"/>
          </w:rPr>
          <w:t xml:space="preserve">статье 129</w:t>
        </w:r>
      </w:hyperlink>
      <w:r>
        <w:rPr>
          <w:sz w:val="24"/>
        </w:rPr>
        <w:t xml:space="preserve"> Трудового кодекса РФ, заработная плата (оплата труда работника) - это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 и стимулирующие выплаты (доплаты и надбавки стимулирующего характера, премии и иные поощрительного выплаты).</w:t>
      </w:r>
    </w:p>
    <w:p>
      <w:pPr>
        <w:pStyle w:val="0"/>
        <w:spacing w:before="240" w:line-rule="auto"/>
        <w:ind w:firstLine="540"/>
        <w:jc w:val="both"/>
      </w:pPr>
      <w:r>
        <w:rPr>
          <w:sz w:val="24"/>
        </w:rPr>
        <w:t xml:space="preserve">Согласно </w:t>
      </w:r>
      <w:hyperlink w:history="0" r:id="rId31" w:tooltip="&quot;Трудовой кодекс Российской Федерации&quot; от 30.12.2001 N 197-ФЗ (ред. от 26.12.2024) ------------ Недействующая редакция {КонсультантПлюс}">
        <w:r>
          <w:rPr>
            <w:sz w:val="24"/>
            <w:color w:val="0000ff"/>
          </w:rPr>
          <w:t xml:space="preserve">статье 132</w:t>
        </w:r>
      </w:hyperlink>
      <w:r>
        <w:rPr>
          <w:sz w:val="24"/>
        </w:rPr>
        <w:t xml:space="preserve"> Трудового кодекса РФ заработная плата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w:t>
      </w:r>
    </w:p>
    <w:p>
      <w:pPr>
        <w:pStyle w:val="0"/>
        <w:spacing w:before="240" w:line-rule="auto"/>
        <w:ind w:firstLine="540"/>
        <w:jc w:val="both"/>
      </w:pPr>
      <w:r>
        <w:rPr>
          <w:sz w:val="24"/>
        </w:rPr>
        <w:t xml:space="preserve">Также </w:t>
      </w:r>
      <w:hyperlink w:history="0" r:id="rId32" w:tooltip="&quot;Трудовой кодекс Российской Федерации&quot; от 30.12.2001 N 197-ФЗ (ред. от 26.12.2024) ------------ Недействующая редакция {КонсультантПлюс}">
        <w:r>
          <w:rPr>
            <w:sz w:val="24"/>
            <w:color w:val="0000ff"/>
          </w:rPr>
          <w:t xml:space="preserve">статья 164</w:t>
        </w:r>
      </w:hyperlink>
      <w:r>
        <w:rPr>
          <w:sz w:val="24"/>
        </w:rPr>
        <w:t xml:space="preserve"> Трудового кодекса РФ содержит понятие гарантий, предоставляемых работникам - средства, способы и условия, с помощью которых обеспечивается осуществление предоставляемых работников прав в области социально-трудовых отношений.</w:t>
      </w:r>
    </w:p>
    <w:p>
      <w:pPr>
        <w:pStyle w:val="0"/>
        <w:spacing w:before="240" w:line-rule="auto"/>
        <w:ind w:firstLine="540"/>
        <w:jc w:val="both"/>
      </w:pPr>
      <w:r>
        <w:rPr>
          <w:sz w:val="24"/>
        </w:rPr>
        <w:t xml:space="preserve">От мер стимулирующего характера гарантии отличаются тем, что они не обусловлены непосредственно характером и качеством выполняемой работником работы и не направлены на поощрение работника за результаты работы.</w:t>
      </w:r>
    </w:p>
    <w:p>
      <w:pPr>
        <w:pStyle w:val="0"/>
        <w:spacing w:before="240" w:line-rule="auto"/>
        <w:ind w:firstLine="540"/>
        <w:jc w:val="both"/>
      </w:pPr>
      <w:r>
        <w:rPr>
          <w:sz w:val="24"/>
        </w:rPr>
        <w:t xml:space="preserve">Выплаты, производимые работодателем в пользу и в интересах работника не за результаты труда, а по иным основаниям, не могут быть отнесены к выплатам, подлежащим включению в базу для исчисления страховых взносов, поскольку такие выплаты не подпадают под определение оплаты труда, приведенное в Трудовом </w:t>
      </w:r>
      <w:hyperlink w:history="0" r:id="rId33" w:tooltip="&quot;Трудовой кодекс Российской Федерации&quot; от 30.12.2001 N 197-ФЗ (ред. от 26.12.2024) ------------ Недействующая редакция {КонсультантПлюс}">
        <w:r>
          <w:rPr>
            <w:sz w:val="24"/>
            <w:color w:val="0000ff"/>
          </w:rPr>
          <w:t xml:space="preserve">кодексе</w:t>
        </w:r>
      </w:hyperlink>
      <w:r>
        <w:rPr>
          <w:sz w:val="24"/>
        </w:rPr>
        <w:t xml:space="preserve"> РФ.</w:t>
      </w:r>
    </w:p>
    <w:p>
      <w:pPr>
        <w:pStyle w:val="0"/>
        <w:spacing w:before="240" w:line-rule="auto"/>
        <w:ind w:firstLine="540"/>
        <w:jc w:val="both"/>
      </w:pPr>
      <w:r>
        <w:rPr>
          <w:sz w:val="24"/>
        </w:rPr>
        <w:t xml:space="preserve">Спорные выплаты работникам прямо не поименованы в статье 20.2 Закона N 125-ФЗ.</w:t>
      </w:r>
    </w:p>
    <w:p>
      <w:pPr>
        <w:pStyle w:val="0"/>
        <w:spacing w:before="240" w:line-rule="auto"/>
        <w:ind w:firstLine="540"/>
        <w:jc w:val="both"/>
      </w:pPr>
      <w:r>
        <w:rPr>
          <w:sz w:val="24"/>
        </w:rPr>
        <w:t xml:space="preserve">Специальной нормы о включении в указанный перечень спорных выплат, в нормах Закона N 125-ФЗ не предусмотрено.</w:t>
      </w:r>
    </w:p>
    <w:p>
      <w:pPr>
        <w:pStyle w:val="0"/>
        <w:spacing w:before="240" w:line-rule="auto"/>
        <w:ind w:firstLine="540"/>
        <w:jc w:val="both"/>
      </w:pPr>
      <w:r>
        <w:rPr>
          <w:sz w:val="24"/>
        </w:rPr>
        <w:t xml:space="preserve">Между тем, из представленных страхователем документов следует, что спорные выплаты работникам не относятся по своей природе ни к вознаграждению за труд не зависят от квалификации, сложности, количества и качества работы, то есть не являются оплатой труда по смыслу </w:t>
      </w:r>
      <w:hyperlink w:history="0" r:id="rId34" w:tooltip="&quot;Трудовой кодекс Российской Федерации&quot; от 30.12.2001 N 197-ФЗ (ред. от 26.12.2024) ------------ Недействующая редакция {КонсультантПлюс}">
        <w:r>
          <w:rPr>
            <w:sz w:val="24"/>
            <w:color w:val="0000ff"/>
          </w:rPr>
          <w:t xml:space="preserve">статьи 129</w:t>
        </w:r>
      </w:hyperlink>
      <w:r>
        <w:rPr>
          <w:sz w:val="24"/>
        </w:rPr>
        <w:t xml:space="preserve"> Трудового кодекса РФ.</w:t>
      </w:r>
    </w:p>
    <w:p>
      <w:pPr>
        <w:pStyle w:val="0"/>
        <w:spacing w:before="240" w:line-rule="auto"/>
        <w:ind w:firstLine="540"/>
        <w:jc w:val="both"/>
      </w:pPr>
      <w:r>
        <w:rPr>
          <w:sz w:val="24"/>
        </w:rPr>
        <w:t xml:space="preserve">Из материалов дела следует, что выплата премий в связи с праздниками: "День защитника Отечества", "Международный женский день" и "День рождения" производилась на основании Приказов на выплату премий сотрудникам в 2021, 2022, 2023 годы.</w:t>
      </w:r>
    </w:p>
    <w:p>
      <w:pPr>
        <w:pStyle w:val="0"/>
        <w:spacing w:before="240" w:line-rule="auto"/>
        <w:ind w:firstLine="540"/>
        <w:jc w:val="both"/>
      </w:pPr>
      <w:r>
        <w:rPr>
          <w:sz w:val="24"/>
        </w:rPr>
        <w:t xml:space="preserve">Выплата премий осуществлялась в одинаковой сумме, что следует из представленных в материалы дела приказов. Из текста приказов не следует, что выплата премий поставлена в зависимость от стажа работника, оценки качества труда, квалификации работника или условий выполнения сотрудником своих трудовых обязанностей.</w:t>
      </w:r>
    </w:p>
    <w:p>
      <w:pPr>
        <w:pStyle w:val="0"/>
        <w:spacing w:before="240" w:line-rule="auto"/>
        <w:ind w:firstLine="540"/>
        <w:jc w:val="both"/>
      </w:pPr>
      <w:r>
        <w:rPr>
          <w:sz w:val="24"/>
        </w:rPr>
        <w:t xml:space="preserve">Из материалов дела также следует, что расходы на медицинские осмотры были связаны с необходимостью проведения в отношении кандидата медицинского осмотра и не зависели от осуществляемой работником трудовой функции.</w:t>
      </w:r>
    </w:p>
    <w:p>
      <w:pPr>
        <w:pStyle w:val="0"/>
        <w:spacing w:before="240" w:line-rule="auto"/>
        <w:ind w:firstLine="540"/>
        <w:jc w:val="both"/>
      </w:pPr>
      <w:r>
        <w:rPr>
          <w:sz w:val="24"/>
        </w:rPr>
        <w:t xml:space="preserve">В силу </w:t>
      </w:r>
      <w:hyperlink w:history="0" r:id="rId35" w:tooltip="&quot;Трудовой кодекс Российской Федерации&quot; от 30.12.2001 N 197-ФЗ (ред. от 26.12.2024) ------------ Недействующая редакция {КонсультантПлюс}">
        <w:r>
          <w:rPr>
            <w:sz w:val="24"/>
            <w:color w:val="0000ff"/>
          </w:rPr>
          <w:t xml:space="preserve">статьи 220</w:t>
        </w:r>
      </w:hyperlink>
      <w:r>
        <w:rPr>
          <w:sz w:val="24"/>
        </w:rPr>
        <w:t xml:space="preserve"> ТК РФ работники, занятые на работах с вредными и (или) опасными условиями труда (в том числе на подземных работах), а также на работах, связанных с движением транспорта, проходят обязательные предварительные (при поступлении на работу) и периодические (в течение трудовой деятельности, для лиц в возрасте до 21 года - ежегодные) медицинские осмотры для определения пригодности этих работников для выполнения поручаемой работы и предупреждения профессиональных заболеваний. В соответствии с нормативными правовыми актами и (или) медицинскими рекомендациями указанные работники проходят внеочередные медицинские осмотры.</w:t>
      </w:r>
    </w:p>
    <w:p>
      <w:pPr>
        <w:pStyle w:val="0"/>
        <w:spacing w:before="240" w:line-rule="auto"/>
        <w:ind w:firstLine="540"/>
        <w:jc w:val="both"/>
      </w:pPr>
      <w:r>
        <w:rPr>
          <w:sz w:val="24"/>
        </w:rPr>
        <w:t xml:space="preserve">Согласно </w:t>
      </w:r>
      <w:hyperlink w:history="0" r:id="rId36" w:tooltip="&quot;Трудовой кодекс Российской Федерации&quot; от 30.12.2001 N 197-ФЗ (ред. от 26.12.2024) ------------ Недействующая редакция {КонсультантПлюс}">
        <w:r>
          <w:rPr>
            <w:sz w:val="24"/>
            <w:color w:val="0000ff"/>
          </w:rPr>
          <w:t xml:space="preserve">статье 214</w:t>
        </w:r>
      </w:hyperlink>
      <w:r>
        <w:rPr>
          <w:sz w:val="24"/>
        </w:rPr>
        <w:t xml:space="preserve"> ТК РФ, работодатель обязан обеспечить работникам, занятым на работах с вредными и (или) опасными условиями труда (в том числе на подземных работах), а также на работах, связанных с движением транспорта, прохождение обязательных предварительных (при поступлении на работу) и периодических (в течение трудовой деятельности, для лиц в возрасте до 21 года - ежегодные) медицинских осмотров для определения пригодности этих работников для выполнения поручаемой работы и предупреждения профессиональных заболеваний.</w:t>
      </w:r>
    </w:p>
    <w:p>
      <w:pPr>
        <w:pStyle w:val="0"/>
        <w:spacing w:before="240" w:line-rule="auto"/>
        <w:ind w:firstLine="540"/>
        <w:jc w:val="both"/>
      </w:pPr>
      <w:r>
        <w:rPr>
          <w:sz w:val="24"/>
        </w:rPr>
        <w:t xml:space="preserve">Расходы на медицинский осмотр, возмещаемые работодателем, в перечне выплат, не облагаемых страховыми взносами в ст. 20.2 Закона N 125-ФЗ не поименованы.</w:t>
      </w:r>
    </w:p>
    <w:p>
      <w:pPr>
        <w:pStyle w:val="0"/>
        <w:spacing w:before="240" w:line-rule="auto"/>
        <w:ind w:firstLine="540"/>
        <w:jc w:val="both"/>
      </w:pPr>
      <w:r>
        <w:rPr>
          <w:sz w:val="24"/>
        </w:rPr>
        <w:t xml:space="preserve">Вместе с тем. </w:t>
      </w:r>
      <w:hyperlink w:history="0" r:id="rId37" w:tooltip="&quot;Трудовой кодекс Российской Федерации&quot; от 30.12.2001 N 197-ФЗ (ред. от 26.12.2024) ------------ Недействующая редакция {КонсультантПлюс}">
        <w:r>
          <w:rPr>
            <w:sz w:val="24"/>
            <w:color w:val="0000ff"/>
          </w:rPr>
          <w:t xml:space="preserve">абзацем 9 статьи 215</w:t>
        </w:r>
      </w:hyperlink>
      <w:r>
        <w:rPr>
          <w:sz w:val="24"/>
        </w:rPr>
        <w:t xml:space="preserve"> ТК РФ на работника возложена обязанность проходить обязательные предварительные (при поступлении на работу) и периодические (в течение трудовой деятельности) медицинские осмотры, другие обязательные медицинские осмотры и обязательные психиатрические освидетельствования, а также внеочередные медицинские осмотры по направлению работодателя, и (или) в соответствии с нормативными правовыми актами, и (или) медицинскими рекомендациями.</w:t>
      </w:r>
    </w:p>
    <w:p>
      <w:pPr>
        <w:pStyle w:val="0"/>
        <w:spacing w:before="240" w:line-rule="auto"/>
        <w:ind w:firstLine="540"/>
        <w:jc w:val="both"/>
      </w:pPr>
      <w:r>
        <w:rPr>
          <w:sz w:val="24"/>
        </w:rPr>
        <w:t xml:space="preserve">Следовательно, прохождение медицинских осмотров является для работников условием занятия определенных должностей, а оплата расходов на прохождение осмотров является обязанностью работодателя, установленной законом.</w:t>
      </w:r>
    </w:p>
    <w:p>
      <w:pPr>
        <w:pStyle w:val="0"/>
        <w:spacing w:before="240" w:line-rule="auto"/>
        <w:ind w:firstLine="540"/>
        <w:jc w:val="both"/>
      </w:pPr>
      <w:r>
        <w:rPr>
          <w:sz w:val="24"/>
        </w:rPr>
        <w:t xml:space="preserve">Несмотря на то, что спорные выплаты формально произведены в связи с возникновением трудовых отношений, они не являлись экономической выгодой (доходом) работников и оплатой (вознаграждением) за труд, не зависели от трудового вклада работников, их квалификации, сложности, количества и качества выполняемой работы, в связи с чем возмещение заявителем работникам стоимости прохождения медицинского осмотра, оплата которого возложена на работодателя в силу закона, не подлежит включению в объект обложения страховыми взносами.</w:t>
      </w:r>
    </w:p>
    <w:p>
      <w:pPr>
        <w:pStyle w:val="0"/>
        <w:spacing w:before="240" w:line-rule="auto"/>
        <w:ind w:firstLine="540"/>
        <w:jc w:val="both"/>
      </w:pPr>
      <w:r>
        <w:rPr>
          <w:sz w:val="24"/>
        </w:rPr>
        <w:t xml:space="preserve">Между тем, поскольку трудовым законодательством обязанность по оплате обязательных медосмотров возложена на работодателя, если работник оплатил прохождение медицинского осмотра за счет собственных денежных средств, такая оплата подлежит компенсации (возмещению) со стороны организации-работодателя.</w:t>
      </w:r>
    </w:p>
    <w:p>
      <w:pPr>
        <w:pStyle w:val="0"/>
        <w:spacing w:before="240" w:line-rule="auto"/>
        <w:ind w:firstLine="540"/>
        <w:jc w:val="both"/>
      </w:pPr>
      <w:r>
        <w:rPr>
          <w:sz w:val="24"/>
        </w:rPr>
        <w:t xml:space="preserve">Заключение договоров на оказание медицинских услуг сроком действия менее одного года в данном случае не изменяет характер спорных выплат.</w:t>
      </w:r>
    </w:p>
    <w:p>
      <w:pPr>
        <w:pStyle w:val="0"/>
        <w:spacing w:before="240" w:line-rule="auto"/>
        <w:ind w:firstLine="540"/>
        <w:jc w:val="both"/>
      </w:pPr>
      <w:r>
        <w:rPr>
          <w:sz w:val="24"/>
        </w:rPr>
        <w:t xml:space="preserve">При этом Фондом не оспаривается реальность и необходимость проведения обязательного предварительного медицинского осмотра.</w:t>
      </w:r>
    </w:p>
    <w:p>
      <w:pPr>
        <w:pStyle w:val="0"/>
        <w:spacing w:before="240" w:line-rule="auto"/>
        <w:ind w:firstLine="540"/>
        <w:jc w:val="both"/>
      </w:pPr>
      <w:r>
        <w:rPr>
          <w:sz w:val="24"/>
        </w:rPr>
        <w:t xml:space="preserve">Ссылка Фонда на несоблюдение страхователем порядка прохождения кандидатами предварительных медицинских осмотров в соответствии с </w:t>
      </w:r>
      <w:hyperlink w:history="0" r:id="rId38" w:tooltip="Приказ Минздрава России от 28.01.2021 N 29н (ред. от 01.02.2022) &quot;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quot; (Зарегистрировано ------------ Недействующая редакция {КонсультантПлюс}">
        <w:r>
          <w:rPr>
            <w:sz w:val="24"/>
            <w:color w:val="0000ff"/>
          </w:rPr>
          <w:t xml:space="preserve">приказом</w:t>
        </w:r>
      </w:hyperlink>
      <w:r>
        <w:rPr>
          <w:sz w:val="24"/>
        </w:rPr>
        <w:t xml:space="preserve"> Минздрава России от 28.01.2021 N 29н и Методологических основ проведения предварительных и периодических медицинских осмотров лиц, работающих во вредных и (или) опасных условиях труда, утвержденных Минздравсоцразвития России 14.12.2005, судом не принимается.</w:t>
      </w:r>
    </w:p>
    <w:p>
      <w:pPr>
        <w:pStyle w:val="0"/>
        <w:spacing w:before="240" w:line-rule="auto"/>
        <w:ind w:firstLine="540"/>
        <w:jc w:val="both"/>
      </w:pPr>
      <w:r>
        <w:rPr>
          <w:sz w:val="24"/>
        </w:rPr>
        <w:t xml:space="preserve">Указанный порядок прохождения предварительных медицинских осмотров не имеет правового значения для целей квалификации спорных платежей (оплата расходов работника на прохождение медосмоотра) для целей включения выплат в базу для начисления страховых взносов.</w:t>
      </w:r>
    </w:p>
    <w:p>
      <w:pPr>
        <w:pStyle w:val="0"/>
        <w:spacing w:before="240" w:line-rule="auto"/>
        <w:ind w:firstLine="540"/>
        <w:jc w:val="both"/>
      </w:pPr>
      <w:r>
        <w:rPr>
          <w:sz w:val="24"/>
        </w:rPr>
        <w:t xml:space="preserve">Таким образом, доказательств того, что единоразовые премии и возмещение работнику стоимости прохождения предварительного медицинского осмотра, являлись платой за труд работника, зависели от объема труда, качества труда, от квалификации работника, сложности работы, трудового вклада работника, исчислялись от размера оклада работника, периода трудового стажа, Фондом не установлены.</w:t>
      </w:r>
    </w:p>
    <w:p>
      <w:pPr>
        <w:pStyle w:val="0"/>
        <w:spacing w:before="240" w:line-rule="auto"/>
        <w:outlineLvl w:val="1"/>
        <w:ind w:firstLine="540"/>
        <w:jc w:val="both"/>
      </w:pPr>
      <w:r>
        <w:rPr>
          <w:sz w:val="24"/>
        </w:rPr>
        <w:t xml:space="preserve">Сам по себе факт наличия трудовых отношений между работодателем и его работниками не свидетельствует о том, что все выплаты, которые начисляются работникам, представляют собой оплату их труда.</w:t>
      </w:r>
    </w:p>
    <w:p>
      <w:pPr>
        <w:pStyle w:val="0"/>
        <w:spacing w:before="240" w:line-rule="auto"/>
        <w:ind w:firstLine="540"/>
        <w:jc w:val="both"/>
      </w:pPr>
      <w:r>
        <w:rPr>
          <w:sz w:val="24"/>
        </w:rPr>
        <w:t xml:space="preserve">С учетом указанного, спорные выплаты характера не обладают признаками заработной платы, не относятся к стимулирующим выплатам и не являются объектом обложения страховыми взносами.</w:t>
      </w:r>
    </w:p>
    <w:p>
      <w:pPr>
        <w:pStyle w:val="0"/>
        <w:spacing w:before="240" w:line-rule="auto"/>
        <w:ind w:firstLine="540"/>
        <w:jc w:val="both"/>
      </w:pPr>
      <w:r>
        <w:rPr>
          <w:sz w:val="24"/>
        </w:rPr>
        <w:t xml:space="preserve">Указанные выводы согласуются с позицией, изложенной в </w:t>
      </w:r>
      <w:hyperlink w:history="0" r:id="rId39" w:tooltip="Постановление Президиума ВАС РФ от 14.05.2013 N 17744/12 по делу N А62-1345/2012 Требование: Об отмене решения пенсионного органа. Обстоятельства: Решением истец привлечен к ответственности, предусмотренной ч. 1 ст. 47 ФЗ от 24.07.2009 N 212-ФЗ; ч. 3 ст. 17 ФЗ от 01.04.1996 N 27-ФЗ. Решение: Требование удовлетворено, поскольку выплаты социального характера, основанные на коллективном договоре, не являются оплатой труда работников и не включаются в базу для начисления страховых взносов; информации о том, что {КонсультантПлюс}">
        <w:r>
          <w:rPr>
            <w:sz w:val="24"/>
            <w:color w:val="0000ff"/>
          </w:rPr>
          <w:t xml:space="preserve">Постановлении</w:t>
        </w:r>
      </w:hyperlink>
      <w:r>
        <w:rPr>
          <w:sz w:val="24"/>
        </w:rPr>
        <w:t xml:space="preserve"> Президиума ВАС РФ N 17744/12 от 14.05.2013.</w:t>
      </w:r>
    </w:p>
    <w:p>
      <w:pPr>
        <w:pStyle w:val="0"/>
        <w:spacing w:before="240" w:line-rule="auto"/>
        <w:ind w:firstLine="540"/>
        <w:jc w:val="both"/>
      </w:pPr>
      <w:r>
        <w:rPr>
          <w:sz w:val="24"/>
        </w:rPr>
        <w:t xml:space="preserve">С учетом указанного, оценив представленные доказательства с учетом </w:t>
      </w:r>
      <w:hyperlink w:history="0" r:id="rId40" w:tooltip="&quot;Арбитражный процессуальный кодекс Российской Федерации&quot; от 24.07.2002 N 95-ФЗ (ред. от 01.04.2025) {КонсультантПлюс}">
        <w:r>
          <w:rPr>
            <w:sz w:val="24"/>
            <w:color w:val="0000ff"/>
          </w:rPr>
          <w:t xml:space="preserve">статьи 71</w:t>
        </w:r>
      </w:hyperlink>
      <w:r>
        <w:rPr>
          <w:sz w:val="24"/>
        </w:rPr>
        <w:t xml:space="preserve"> АПК РФ, суд приходит к выводу, что спорные выплаты не являются объектом обложения страховыми взносами и не подлежат включению в базу для начисления страховых взносов.</w:t>
      </w:r>
    </w:p>
    <w:p>
      <w:pPr>
        <w:pStyle w:val="0"/>
        <w:spacing w:before="240" w:line-rule="auto"/>
        <w:ind w:firstLine="540"/>
        <w:jc w:val="both"/>
      </w:pPr>
      <w:r>
        <w:rPr>
          <w:sz w:val="24"/>
        </w:rPr>
        <w:t xml:space="preserve">С учетом указанного, требования заявителя подлежат удовлетворению.</w:t>
      </w:r>
    </w:p>
    <w:p>
      <w:pPr>
        <w:pStyle w:val="0"/>
        <w:spacing w:before="240" w:line-rule="auto"/>
        <w:ind w:firstLine="540"/>
        <w:jc w:val="both"/>
      </w:pPr>
      <w:r>
        <w:rPr>
          <w:sz w:val="24"/>
        </w:rPr>
        <w:t xml:space="preserve">В силу </w:t>
      </w:r>
      <w:hyperlink w:history="0" r:id="rId41" w:tooltip="&quot;Арбитражный процессуальный кодекс Российской Федерации&quot; от 24.07.2002 N 95-ФЗ (ред. от 01.04.2025) {КонсультантПлюс}">
        <w:r>
          <w:rPr>
            <w:sz w:val="24"/>
            <w:color w:val="0000ff"/>
          </w:rPr>
          <w:t xml:space="preserve">части 1 статьи 110</w:t>
        </w:r>
      </w:hyperlink>
      <w:r>
        <w:rPr>
          <w:sz w:val="24"/>
        </w:rPr>
        <w:t xml:space="preserve"> АПК РФ судебные расходы, понесенные лицами, участвующими в деле, в пользу которых принят судебный акт, взыскиваются арбитражным судом со стороны.</w:t>
      </w:r>
    </w:p>
    <w:p>
      <w:pPr>
        <w:pStyle w:val="0"/>
        <w:spacing w:before="240" w:line-rule="auto"/>
        <w:ind w:firstLine="540"/>
        <w:jc w:val="both"/>
      </w:pPr>
      <w:r>
        <w:rPr>
          <w:sz w:val="24"/>
        </w:rPr>
        <w:t xml:space="preserve">При обращении с настоящим заявлением обществом по платежному поручению от 29.08.2024 N 1311 уплачена государственная пошлина в сумме 3 000 рублей.</w:t>
      </w:r>
    </w:p>
    <w:p>
      <w:pPr>
        <w:pStyle w:val="0"/>
        <w:spacing w:before="240" w:line-rule="auto"/>
        <w:ind w:firstLine="540"/>
        <w:jc w:val="both"/>
      </w:pPr>
      <w:r>
        <w:rPr>
          <w:sz w:val="24"/>
        </w:rPr>
        <w:t xml:space="preserve">Учитывая, что требования заявителя подлежат удовлетворению, судебные расходы по уплате государственной пошлины в размере 3 000 рублей подлежат возмещению заявителю за счет ответчика по правилам </w:t>
      </w:r>
      <w:hyperlink w:history="0" r:id="rId42" w:tooltip="&quot;Арбитражный процессуальный кодекс Российской Федерации&quot; от 24.07.2002 N 95-ФЗ (ред. от 01.04.2025) {КонсультантПлюс}">
        <w:r>
          <w:rPr>
            <w:sz w:val="24"/>
            <w:color w:val="0000ff"/>
          </w:rPr>
          <w:t xml:space="preserve">статьи 110</w:t>
        </w:r>
      </w:hyperlink>
      <w:r>
        <w:rPr>
          <w:sz w:val="24"/>
        </w:rPr>
        <w:t xml:space="preserve"> АПК РФ.</w:t>
      </w:r>
    </w:p>
    <w:p>
      <w:pPr>
        <w:pStyle w:val="0"/>
        <w:spacing w:before="240" w:line-rule="auto"/>
        <w:ind w:firstLine="540"/>
        <w:jc w:val="both"/>
      </w:pPr>
      <w:r>
        <w:rPr>
          <w:sz w:val="24"/>
        </w:rPr>
        <w:t xml:space="preserve">Руководствуясь </w:t>
      </w:r>
      <w:hyperlink w:history="0" r:id="rId43" w:tooltip="&quot;Арбитражный процессуальный кодекс Российской Федерации&quot; от 24.07.2002 N 95-ФЗ (ред. от 01.04.2025) {КонсультантПлюс}">
        <w:r>
          <w:rPr>
            <w:sz w:val="24"/>
            <w:color w:val="0000ff"/>
          </w:rPr>
          <w:t xml:space="preserve">ст. ст. 110</w:t>
        </w:r>
      </w:hyperlink>
      <w:r>
        <w:rPr>
          <w:sz w:val="24"/>
        </w:rPr>
        <w:t xml:space="preserve">, </w:t>
      </w:r>
      <w:hyperlink w:history="0" r:id="rId44" w:tooltip="&quot;Арбитражный процессуальный кодекс Российской Федерации&quot; от 24.07.2002 N 95-ФЗ (ред. от 01.04.2025) {КонсультантПлюс}">
        <w:r>
          <w:rPr>
            <w:sz w:val="24"/>
            <w:color w:val="0000ff"/>
          </w:rPr>
          <w:t xml:space="preserve">167</w:t>
        </w:r>
      </w:hyperlink>
      <w:r>
        <w:rPr>
          <w:sz w:val="24"/>
        </w:rPr>
        <w:t xml:space="preserve"> - </w:t>
      </w:r>
      <w:hyperlink w:history="0" r:id="rId45" w:tooltip="&quot;Арбитражный процессуальный кодекс Российской Федерации&quot; от 24.07.2002 N 95-ФЗ (ред. от 01.04.2025) {КонсультантПлюс}">
        <w:r>
          <w:rPr>
            <w:sz w:val="24"/>
            <w:color w:val="0000ff"/>
          </w:rPr>
          <w:t xml:space="preserve">170</w:t>
        </w:r>
      </w:hyperlink>
      <w:r>
        <w:rPr>
          <w:sz w:val="24"/>
        </w:rPr>
        <w:t xml:space="preserve">, </w:t>
      </w:r>
      <w:hyperlink w:history="0" r:id="rId46" w:tooltip="&quot;Арбитражный процессуальный кодекс Российской Федерации&quot; от 24.07.2002 N 95-ФЗ (ред. от 01.04.2025) {КонсультантПлюс}">
        <w:r>
          <w:rPr>
            <w:sz w:val="24"/>
            <w:color w:val="0000ff"/>
          </w:rPr>
          <w:t xml:space="preserve">176</w:t>
        </w:r>
      </w:hyperlink>
      <w:r>
        <w:rPr>
          <w:sz w:val="24"/>
        </w:rPr>
        <w:t xml:space="preserve">, </w:t>
      </w:r>
      <w:hyperlink w:history="0" r:id="rId47" w:tooltip="&quot;Арбитражный процессуальный кодекс Российской Федерации&quot; от 24.07.2002 N 95-ФЗ (ред. от 01.04.2025) {КонсультантПлюс}">
        <w:r>
          <w:rPr>
            <w:sz w:val="24"/>
            <w:color w:val="0000ff"/>
          </w:rPr>
          <w:t xml:space="preserve">201</w:t>
        </w:r>
      </w:hyperlink>
      <w:r>
        <w:rPr>
          <w:sz w:val="24"/>
        </w:rPr>
        <w:t xml:space="preserve"> АПК РФ,</w:t>
      </w:r>
    </w:p>
    <w:p>
      <w:pPr>
        <w:pStyle w:val="0"/>
        <w:jc w:val="center"/>
      </w:pPr>
      <w:r>
        <w:rPr>
          <w:sz w:val="24"/>
        </w:rPr>
      </w:r>
    </w:p>
    <w:p>
      <w:pPr>
        <w:pStyle w:val="0"/>
        <w:jc w:val="center"/>
      </w:pPr>
      <w:r>
        <w:rPr>
          <w:sz w:val="24"/>
        </w:rPr>
        <w:t xml:space="preserve">решил:</w:t>
      </w:r>
    </w:p>
    <w:p>
      <w:pPr>
        <w:pStyle w:val="0"/>
        <w:jc w:val="center"/>
      </w:pPr>
      <w:r>
        <w:rPr>
          <w:sz w:val="24"/>
        </w:rPr>
      </w:r>
    </w:p>
    <w:p>
      <w:pPr>
        <w:pStyle w:val="0"/>
        <w:ind w:firstLine="540"/>
        <w:jc w:val="both"/>
      </w:pPr>
      <w:r>
        <w:rPr>
          <w:sz w:val="24"/>
        </w:rPr>
        <w:t xml:space="preserve">Заявленные требования удовлетворить.</w:t>
      </w:r>
    </w:p>
    <w:p>
      <w:pPr>
        <w:pStyle w:val="0"/>
        <w:spacing w:before="240" w:line-rule="auto"/>
        <w:ind w:firstLine="540"/>
        <w:jc w:val="both"/>
      </w:pPr>
      <w:r>
        <w:rPr>
          <w:sz w:val="24"/>
        </w:rPr>
        <w:t xml:space="preserve">Признать недействительным решение Отделения Фонда пенсионного и социального страхования РФ по Челябинской области от 29.07.2024 N 74092450000517 о привлечении страхователя к ответственности за совершение правонарушения, выявленного по результатам проверки правильности исчисления, полноты и своевременности уплаты (перечисления) страховых взносов на обязательное социальное страхование от несчастных случаев на производстве и профессиональных заболеваний.</w:t>
      </w:r>
    </w:p>
    <w:p>
      <w:pPr>
        <w:pStyle w:val="0"/>
        <w:spacing w:before="240" w:line-rule="auto"/>
        <w:ind w:firstLine="540"/>
        <w:jc w:val="both"/>
      </w:pPr>
      <w:r>
        <w:rPr>
          <w:sz w:val="24"/>
        </w:rPr>
        <w:t xml:space="preserve">Взыскать с Отделения Фонда пенсионного и социального страхования Российской Федерации по Челябинской области в пользу общества с ограниченной ответственностью "Капитал-Сити", ОГРН 1106670031951 судебные расходы по уплате государственной пошлины в сумме 3000 рублей.</w:t>
      </w:r>
    </w:p>
    <w:p>
      <w:pPr>
        <w:pStyle w:val="0"/>
        <w:spacing w:before="240" w:line-rule="auto"/>
        <w:ind w:firstLine="540"/>
        <w:jc w:val="both"/>
      </w:pPr>
      <w:r>
        <w:rPr>
          <w:sz w:val="24"/>
        </w:rPr>
        <w:t xml:space="preserve">Решение может быть обжаловано в порядке апелляционного производства в Восемнадцатый арбитражный апелляционный суд в течение месяца со дня принятия решения (изготовления его в полном объеме) путем подачи жалобы через Арбитражный суд Челябинской области.</w:t>
      </w:r>
    </w:p>
    <w:p>
      <w:pPr>
        <w:pStyle w:val="0"/>
        <w:ind w:firstLine="540"/>
        <w:jc w:val="both"/>
      </w:pPr>
      <w:r>
        <w:rPr>
          <w:sz w:val="24"/>
        </w:rPr>
      </w:r>
    </w:p>
    <w:p>
      <w:pPr>
        <w:pStyle w:val="0"/>
        <w:jc w:val="right"/>
      </w:pPr>
      <w:r>
        <w:rPr>
          <w:sz w:val="24"/>
        </w:rPr>
        <w:t xml:space="preserve">Судья</w:t>
      </w:r>
    </w:p>
    <w:p>
      <w:pPr>
        <w:pStyle w:val="0"/>
        <w:jc w:val="right"/>
      </w:pPr>
      <w:r>
        <w:rPr>
          <w:sz w:val="24"/>
        </w:rPr>
        <w:t xml:space="preserve">В.В.ДОБРОНРАВОВ</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Решение Арбитражного суда Челябинской области от 14.04.2025 по делу N А76-30738/2024</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23.06.2025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502254&amp;date=23.06.2025&amp;dst=101047&amp;field=134" TargetMode = "External"/>
	<Relationship Id="rId8" Type="http://schemas.openxmlformats.org/officeDocument/2006/relationships/hyperlink" Target="https://login.consultant.ru/link/?req=doc&amp;base=LAW&amp;n=502254&amp;date=23.06.2025&amp;dst=298&amp;field=134" TargetMode = "External"/>
	<Relationship Id="rId9" Type="http://schemas.openxmlformats.org/officeDocument/2006/relationships/hyperlink" Target="https://login.consultant.ru/link/?req=doc&amp;base=LAW&amp;n=502254&amp;date=23.06.2025&amp;dst=101010&amp;field=134" TargetMode = "External"/>
	<Relationship Id="rId10" Type="http://schemas.openxmlformats.org/officeDocument/2006/relationships/hyperlink" Target="https://login.consultant.ru/link/?req=doc&amp;base=LAW&amp;n=502254&amp;date=23.06.2025&amp;dst=370&amp;field=134" TargetMode = "External"/>
	<Relationship Id="rId11" Type="http://schemas.openxmlformats.org/officeDocument/2006/relationships/hyperlink" Target="https://login.consultant.ru/link/?req=doc&amp;base=LAW&amp;n=502254&amp;date=23.06.2025&amp;dst=101266&amp;field=134" TargetMode = "External"/>
	<Relationship Id="rId12" Type="http://schemas.openxmlformats.org/officeDocument/2006/relationships/hyperlink" Target="https://login.consultant.ru/link/?req=doc&amp;base=LAW&amp;n=489339&amp;date=23.06.2025&amp;dst=100009&amp;field=134" TargetMode = "External"/>
	<Relationship Id="rId13" Type="http://schemas.openxmlformats.org/officeDocument/2006/relationships/hyperlink" Target="https://login.consultant.ru/link/?req=doc&amp;base=LAW&amp;n=489339&amp;date=23.06.2025&amp;dst=28&amp;field=134" TargetMode = "External"/>
	<Relationship Id="rId14" Type="http://schemas.openxmlformats.org/officeDocument/2006/relationships/hyperlink" Target="https://login.consultant.ru/link/?req=doc&amp;base=LAW&amp;n=477396&amp;date=23.06.2025" TargetMode = "External"/>
	<Relationship Id="rId15" Type="http://schemas.openxmlformats.org/officeDocument/2006/relationships/hyperlink" Target="https://login.consultant.ru/link/?req=doc&amp;base=LAW&amp;n=494979&amp;date=23.06.2025&amp;dst=27035&amp;field=134" TargetMode = "External"/>
	<Relationship Id="rId16" Type="http://schemas.openxmlformats.org/officeDocument/2006/relationships/hyperlink" Target="https://login.consultant.ru/link/?req=doc&amp;base=LAW&amp;n=494979&amp;date=23.06.2025&amp;dst=13386&amp;field=134" TargetMode = "External"/>
	<Relationship Id="rId17" Type="http://schemas.openxmlformats.org/officeDocument/2006/relationships/hyperlink" Target="https://login.consultant.ru/link/?req=doc&amp;base=LAW&amp;n=494979&amp;date=23.06.2025&amp;dst=13387&amp;field=134" TargetMode = "External"/>
	<Relationship Id="rId18" Type="http://schemas.openxmlformats.org/officeDocument/2006/relationships/hyperlink" Target="https://login.consultant.ru/link/?req=doc&amp;base=LAW&amp;n=494979&amp;date=23.06.2025&amp;dst=13391&amp;field=134" TargetMode = "External"/>
	<Relationship Id="rId19" Type="http://schemas.openxmlformats.org/officeDocument/2006/relationships/hyperlink" Target="https://login.consultant.ru/link/?req=doc&amp;base=LAW&amp;n=494979&amp;date=23.06.2025&amp;dst=14001&amp;field=134" TargetMode = "External"/>
	<Relationship Id="rId20" Type="http://schemas.openxmlformats.org/officeDocument/2006/relationships/hyperlink" Target="https://login.consultant.ru/link/?req=doc&amp;base=LAW&amp;n=494979&amp;date=23.06.2025&amp;dst=13392&amp;field=134" TargetMode = "External"/>
	<Relationship Id="rId21" Type="http://schemas.openxmlformats.org/officeDocument/2006/relationships/hyperlink" Target="https://login.consultant.ru/link/?req=doc&amp;base=LAW&amp;n=494979&amp;date=23.06.2025&amp;dst=13430&amp;field=134" TargetMode = "External"/>
	<Relationship Id="rId22" Type="http://schemas.openxmlformats.org/officeDocument/2006/relationships/hyperlink" Target="https://login.consultant.ru/link/?req=doc&amp;base=LAW&amp;n=494979&amp;date=23.06.2025&amp;dst=13403&amp;field=134" TargetMode = "External"/>
	<Relationship Id="rId23" Type="http://schemas.openxmlformats.org/officeDocument/2006/relationships/hyperlink" Target="https://login.consultant.ru/link/?req=doc&amp;base=LAW&amp;n=493279&amp;date=23.06.2025&amp;dst=164&amp;field=134" TargetMode = "External"/>
	<Relationship Id="rId24" Type="http://schemas.openxmlformats.org/officeDocument/2006/relationships/hyperlink" Target="https://login.consultant.ru/link/?req=doc&amp;base=LAW&amp;n=493279&amp;date=23.06.2025&amp;dst=100141&amp;field=134" TargetMode = "External"/>
	<Relationship Id="rId25" Type="http://schemas.openxmlformats.org/officeDocument/2006/relationships/hyperlink" Target="https://login.consultant.ru/link/?req=doc&amp;base=LAW&amp;n=493279&amp;date=23.06.2025" TargetMode = "External"/>
	<Relationship Id="rId26" Type="http://schemas.openxmlformats.org/officeDocument/2006/relationships/hyperlink" Target="https://login.consultant.ru/link/?req=doc&amp;base=LAW&amp;n=493279&amp;date=23.06.2025&amp;dst=655&amp;field=134" TargetMode = "External"/>
	<Relationship Id="rId27" Type="http://schemas.openxmlformats.org/officeDocument/2006/relationships/hyperlink" Target="https://login.consultant.ru/link/?req=doc&amp;base=LAW&amp;n=493279&amp;date=23.06.2025&amp;dst=101047&amp;field=134" TargetMode = "External"/>
	<Relationship Id="rId28" Type="http://schemas.openxmlformats.org/officeDocument/2006/relationships/hyperlink" Target="https://login.consultant.ru/link/?req=doc&amp;base=LAW&amp;n=493279&amp;date=23.06.2025&amp;dst=636&amp;field=134" TargetMode = "External"/>
	<Relationship Id="rId29" Type="http://schemas.openxmlformats.org/officeDocument/2006/relationships/hyperlink" Target="https://login.consultant.ru/link/?req=doc&amp;base=LAW&amp;n=493279&amp;date=23.06.2025&amp;dst=636&amp;field=134" TargetMode = "External"/>
	<Relationship Id="rId30" Type="http://schemas.openxmlformats.org/officeDocument/2006/relationships/hyperlink" Target="https://login.consultant.ru/link/?req=doc&amp;base=LAW&amp;n=493279&amp;date=23.06.2025&amp;dst=636&amp;field=134" TargetMode = "External"/>
	<Relationship Id="rId31" Type="http://schemas.openxmlformats.org/officeDocument/2006/relationships/hyperlink" Target="https://login.consultant.ru/link/?req=doc&amp;base=LAW&amp;n=493279&amp;date=23.06.2025&amp;dst=100901&amp;field=134" TargetMode = "External"/>
	<Relationship Id="rId32" Type="http://schemas.openxmlformats.org/officeDocument/2006/relationships/hyperlink" Target="https://login.consultant.ru/link/?req=doc&amp;base=LAW&amp;n=493279&amp;date=23.06.2025&amp;dst=101047&amp;field=134" TargetMode = "External"/>
	<Relationship Id="rId33" Type="http://schemas.openxmlformats.org/officeDocument/2006/relationships/hyperlink" Target="https://login.consultant.ru/link/?req=doc&amp;base=LAW&amp;n=493279&amp;date=23.06.2025" TargetMode = "External"/>
	<Relationship Id="rId34" Type="http://schemas.openxmlformats.org/officeDocument/2006/relationships/hyperlink" Target="https://login.consultant.ru/link/?req=doc&amp;base=LAW&amp;n=493279&amp;date=23.06.2025&amp;dst=636&amp;field=134" TargetMode = "External"/>
	<Relationship Id="rId35" Type="http://schemas.openxmlformats.org/officeDocument/2006/relationships/hyperlink" Target="https://login.consultant.ru/link/?req=doc&amp;base=LAW&amp;n=493279&amp;date=23.06.2025&amp;dst=2754&amp;field=134" TargetMode = "External"/>
	<Relationship Id="rId36" Type="http://schemas.openxmlformats.org/officeDocument/2006/relationships/hyperlink" Target="https://login.consultant.ru/link/?req=doc&amp;base=LAW&amp;n=493279&amp;date=23.06.2025&amp;dst=2640&amp;field=134" TargetMode = "External"/>
	<Relationship Id="rId37" Type="http://schemas.openxmlformats.org/officeDocument/2006/relationships/hyperlink" Target="https://login.consultant.ru/link/?req=doc&amp;base=LAW&amp;n=493279&amp;date=23.06.2025&amp;dst=2694&amp;field=134" TargetMode = "External"/>
	<Relationship Id="rId38" Type="http://schemas.openxmlformats.org/officeDocument/2006/relationships/hyperlink" Target="https://login.consultant.ru/link/?req=doc&amp;base=LAW&amp;n=409057&amp;date=23.06.2025" TargetMode = "External"/>
	<Relationship Id="rId39" Type="http://schemas.openxmlformats.org/officeDocument/2006/relationships/hyperlink" Target="https://login.consultant.ru/link/?req=doc&amp;base=ARB&amp;n=346301&amp;date=23.06.2025" TargetMode = "External"/>
	<Relationship Id="rId40" Type="http://schemas.openxmlformats.org/officeDocument/2006/relationships/hyperlink" Target="https://login.consultant.ru/link/?req=doc&amp;base=LAW&amp;n=502254&amp;date=23.06.2025&amp;dst=100419&amp;field=134" TargetMode = "External"/>
	<Relationship Id="rId41" Type="http://schemas.openxmlformats.org/officeDocument/2006/relationships/hyperlink" Target="https://login.consultant.ru/link/?req=doc&amp;base=LAW&amp;n=502254&amp;date=23.06.2025&amp;dst=100667&amp;field=134" TargetMode = "External"/>
	<Relationship Id="rId42" Type="http://schemas.openxmlformats.org/officeDocument/2006/relationships/hyperlink" Target="https://login.consultant.ru/link/?req=doc&amp;base=LAW&amp;n=502254&amp;date=23.06.2025&amp;dst=100666&amp;field=134" TargetMode = "External"/>
	<Relationship Id="rId43" Type="http://schemas.openxmlformats.org/officeDocument/2006/relationships/hyperlink" Target="https://login.consultant.ru/link/?req=doc&amp;base=LAW&amp;n=502254&amp;date=23.06.2025&amp;dst=100666&amp;field=134" TargetMode = "External"/>
	<Relationship Id="rId44" Type="http://schemas.openxmlformats.org/officeDocument/2006/relationships/hyperlink" Target="https://login.consultant.ru/link/?req=doc&amp;base=LAW&amp;n=502254&amp;date=23.06.2025&amp;dst=101067&amp;field=134" TargetMode = "External"/>
	<Relationship Id="rId45" Type="http://schemas.openxmlformats.org/officeDocument/2006/relationships/hyperlink" Target="https://login.consultant.ru/link/?req=doc&amp;base=LAW&amp;n=502254&amp;date=23.06.2025&amp;dst=101083&amp;field=134" TargetMode = "External"/>
	<Relationship Id="rId46" Type="http://schemas.openxmlformats.org/officeDocument/2006/relationships/hyperlink" Target="https://login.consultant.ru/link/?req=doc&amp;base=LAW&amp;n=502254&amp;date=23.06.2025&amp;dst=101111&amp;field=134" TargetMode = "External"/>
	<Relationship Id="rId47" Type="http://schemas.openxmlformats.org/officeDocument/2006/relationships/hyperlink" Target="https://login.consultant.ru/link/?req=doc&amp;base=LAW&amp;n=502254&amp;date=23.06.2025&amp;dst=376&amp;field=13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Арбитражного суда Челябинской области от 14.04.2025 по делу N А76-30738/2024
Требование: О признании недействительным решения Отделения Фонда пенсионного и социального страхования Российской Федерации по Челябинской области.
Решение: Требование удовлетворено.</dc:title>
  <dcterms:created xsi:type="dcterms:W3CDTF">2025-06-23T11:06:20Z</dcterms:created>
</cp:coreProperties>
</file>